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0669" w14:textId="5DEAD75D" w:rsidR="000F50CF" w:rsidRDefault="000F50CF" w:rsidP="000F50CF">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r>
        <w:t xml:space="preserve">     </w:t>
      </w:r>
      <w:r>
        <w:rPr>
          <w:noProof/>
        </w:rPr>
        <w:drawing>
          <wp:inline distT="0" distB="0" distL="0" distR="0" wp14:anchorId="0D2CA759" wp14:editId="5B0E083F">
            <wp:extent cx="989965" cy="9048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with 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4802" cy="918437"/>
                    </a:xfrm>
                    <a:prstGeom prst="rect">
                      <a:avLst/>
                    </a:prstGeom>
                  </pic:spPr>
                </pic:pic>
              </a:graphicData>
            </a:graphic>
          </wp:inline>
        </w:drawing>
      </w:r>
    </w:p>
    <w:bookmarkEnd w:id="5"/>
    <w:bookmarkEnd w:id="6"/>
    <w:bookmarkEnd w:id="7"/>
    <w:bookmarkEnd w:id="8"/>
    <w:bookmarkEnd w:id="9"/>
    <w:bookmarkEnd w:id="10"/>
    <w:bookmarkEnd w:id="11"/>
    <w:bookmarkEnd w:id="12"/>
    <w:bookmarkEnd w:id="13"/>
    <w:p w14:paraId="0C6E1900" w14:textId="524CE3DC" w:rsidR="00102275" w:rsidRDefault="00102275" w:rsidP="00F337E6">
      <w:pPr>
        <w:suppressAutoHyphens w:val="0"/>
        <w:spacing w:after="0" w:line="240" w:lineRule="auto"/>
        <w:rPr>
          <w:b/>
          <w:color w:val="17365D" w:themeColor="text2" w:themeShade="BF"/>
          <w:sz w:val="32"/>
        </w:rPr>
      </w:pPr>
      <w:r>
        <w:rPr>
          <w:b/>
          <w:color w:val="17365D" w:themeColor="text2" w:themeShade="BF"/>
          <w:sz w:val="32"/>
        </w:rPr>
        <w:t>202</w:t>
      </w:r>
      <w:r w:rsidR="002D7E19">
        <w:rPr>
          <w:b/>
          <w:color w:val="17365D" w:themeColor="text2" w:themeShade="BF"/>
          <w:sz w:val="32"/>
        </w:rPr>
        <w:t>4</w:t>
      </w:r>
      <w:r>
        <w:rPr>
          <w:b/>
          <w:color w:val="17365D" w:themeColor="text2" w:themeShade="BF"/>
          <w:sz w:val="32"/>
        </w:rPr>
        <w:t xml:space="preserve"> to 202</w:t>
      </w:r>
      <w:r w:rsidR="002D7E19">
        <w:rPr>
          <w:b/>
          <w:color w:val="17365D" w:themeColor="text2" w:themeShade="BF"/>
          <w:sz w:val="32"/>
        </w:rPr>
        <w:t>5</w:t>
      </w:r>
    </w:p>
    <w:p w14:paraId="6ACE4876" w14:textId="06BECA09" w:rsidR="00B972EB" w:rsidRDefault="00B972EB" w:rsidP="00F337E6">
      <w:pPr>
        <w:suppressAutoHyphens w:val="0"/>
        <w:spacing w:after="0" w:line="240" w:lineRule="auto"/>
        <w:rPr>
          <w:b/>
          <w:color w:val="17365D" w:themeColor="text2" w:themeShade="BF"/>
          <w:sz w:val="32"/>
        </w:rPr>
      </w:pPr>
    </w:p>
    <w:p w14:paraId="4271D82C" w14:textId="77777777" w:rsidR="00B972EB" w:rsidRPr="00B972EB" w:rsidRDefault="00B972EB" w:rsidP="00B972EB">
      <w:pPr>
        <w:numPr>
          <w:ilvl w:val="0"/>
          <w:numId w:val="1"/>
        </w:numPr>
        <w:suppressAutoHyphens w:val="0"/>
        <w:autoSpaceDN/>
        <w:spacing w:after="0" w:line="240" w:lineRule="auto"/>
        <w:textAlignment w:val="baseline"/>
        <w:rPr>
          <w:rFonts w:ascii="Segoe UI" w:hAnsi="Segoe UI" w:cs="Segoe UI"/>
          <w:b/>
          <w:bCs/>
          <w:color w:val="104F75"/>
          <w:sz w:val="18"/>
          <w:szCs w:val="18"/>
        </w:rPr>
      </w:pPr>
      <w:r w:rsidRPr="00B972EB">
        <w:rPr>
          <w:rFonts w:cs="Arial"/>
          <w:b/>
          <w:bCs/>
          <w:color w:val="104F75"/>
          <w:sz w:val="32"/>
          <w:szCs w:val="32"/>
        </w:rPr>
        <w:t>School overview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970"/>
      </w:tblGrid>
      <w:tr w:rsidR="00B972EB" w:rsidRPr="00B972EB" w14:paraId="7A3E399C"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D8E2E9"/>
            <w:hideMark/>
          </w:tcPr>
          <w:p w14:paraId="247EFAE9"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b/>
                <w:bCs/>
              </w:rPr>
            </w:pPr>
            <w:r w:rsidRPr="00B972EB">
              <w:rPr>
                <w:rFonts w:cs="Arial"/>
                <w:b/>
                <w:bCs/>
              </w:rPr>
              <w:t>Detail </w:t>
            </w:r>
          </w:p>
        </w:tc>
        <w:tc>
          <w:tcPr>
            <w:tcW w:w="2970" w:type="dxa"/>
            <w:tcBorders>
              <w:top w:val="single" w:sz="6" w:space="0" w:color="000000"/>
              <w:left w:val="single" w:sz="6" w:space="0" w:color="000000"/>
              <w:bottom w:val="single" w:sz="6" w:space="0" w:color="000000"/>
              <w:right w:val="single" w:sz="6" w:space="0" w:color="000000"/>
            </w:tcBorders>
            <w:shd w:val="clear" w:color="auto" w:fill="D8E2E9"/>
            <w:hideMark/>
          </w:tcPr>
          <w:p w14:paraId="366C77D7"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b/>
                <w:bCs/>
              </w:rPr>
            </w:pPr>
            <w:r w:rsidRPr="00B972EB">
              <w:rPr>
                <w:rFonts w:cs="Arial"/>
                <w:b/>
                <w:bCs/>
              </w:rPr>
              <w:t>Data </w:t>
            </w:r>
          </w:p>
        </w:tc>
      </w:tr>
      <w:tr w:rsidR="00B972EB" w:rsidRPr="00B972EB" w14:paraId="560EF803"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403512F4"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School name </w:t>
            </w:r>
          </w:p>
        </w:tc>
        <w:tc>
          <w:tcPr>
            <w:tcW w:w="2970" w:type="dxa"/>
            <w:tcBorders>
              <w:top w:val="single" w:sz="6" w:space="0" w:color="000000"/>
              <w:left w:val="single" w:sz="6" w:space="0" w:color="000000"/>
              <w:bottom w:val="single" w:sz="6" w:space="0" w:color="000000"/>
              <w:right w:val="single" w:sz="6" w:space="0" w:color="000000"/>
            </w:tcBorders>
            <w:hideMark/>
          </w:tcPr>
          <w:p w14:paraId="4F24E917" w14:textId="77777777" w:rsidR="00B972EB" w:rsidRPr="00B972EB" w:rsidRDefault="00B972EB" w:rsidP="00B972EB">
            <w:pPr>
              <w:numPr>
                <w:ilvl w:val="0"/>
                <w:numId w:val="1"/>
              </w:numPr>
              <w:suppressAutoHyphens w:val="0"/>
              <w:autoSpaceDN/>
              <w:spacing w:after="0" w:line="240" w:lineRule="auto"/>
              <w:ind w:right="45"/>
              <w:textAlignment w:val="baseline"/>
              <w:rPr>
                <w:rFonts w:ascii="Times New Roman" w:hAnsi="Times New Roman"/>
              </w:rPr>
            </w:pPr>
            <w:r w:rsidRPr="00B972EB">
              <w:rPr>
                <w:rFonts w:cs="Arial"/>
                <w:color w:val="auto"/>
              </w:rPr>
              <w:t>World’s End Junior School </w:t>
            </w:r>
          </w:p>
        </w:tc>
      </w:tr>
      <w:tr w:rsidR="00B972EB" w:rsidRPr="00B972EB" w14:paraId="013D8408"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174D7112"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Number of pupils in school  </w:t>
            </w:r>
          </w:p>
        </w:tc>
        <w:tc>
          <w:tcPr>
            <w:tcW w:w="2970" w:type="dxa"/>
            <w:tcBorders>
              <w:top w:val="single" w:sz="6" w:space="0" w:color="000000"/>
              <w:left w:val="single" w:sz="6" w:space="0" w:color="000000"/>
              <w:bottom w:val="single" w:sz="6" w:space="0" w:color="000000"/>
              <w:right w:val="single" w:sz="6" w:space="0" w:color="000000"/>
            </w:tcBorders>
            <w:hideMark/>
          </w:tcPr>
          <w:p w14:paraId="10F77B2F" w14:textId="603E37DB" w:rsidR="00B972EB" w:rsidRPr="00B972EB" w:rsidRDefault="00B972EB" w:rsidP="00B972EB">
            <w:pPr>
              <w:suppressAutoHyphens w:val="0"/>
              <w:autoSpaceDN/>
              <w:spacing w:after="0" w:line="240" w:lineRule="auto"/>
              <w:ind w:left="45" w:right="45"/>
              <w:textAlignment w:val="baseline"/>
              <w:rPr>
                <w:rFonts w:cs="Arial"/>
              </w:rPr>
            </w:pPr>
            <w:r w:rsidRPr="00B972EB">
              <w:rPr>
                <w:rFonts w:cs="Arial"/>
              </w:rPr>
              <w:t>359</w:t>
            </w:r>
          </w:p>
        </w:tc>
      </w:tr>
      <w:tr w:rsidR="00B972EB" w:rsidRPr="00B972EB" w14:paraId="1E9B8FB0"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2FFEE519"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Proportion (%) of pupil premium eligible pupils </w:t>
            </w:r>
          </w:p>
        </w:tc>
        <w:tc>
          <w:tcPr>
            <w:tcW w:w="2970" w:type="dxa"/>
            <w:tcBorders>
              <w:top w:val="single" w:sz="6" w:space="0" w:color="000000"/>
              <w:left w:val="single" w:sz="6" w:space="0" w:color="000000"/>
              <w:bottom w:val="single" w:sz="6" w:space="0" w:color="000000"/>
              <w:right w:val="single" w:sz="6" w:space="0" w:color="000000"/>
            </w:tcBorders>
            <w:hideMark/>
          </w:tcPr>
          <w:p w14:paraId="60A7C0C8" w14:textId="476FFCE0"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4</w:t>
            </w:r>
            <w:r>
              <w:rPr>
                <w:rFonts w:cs="Arial"/>
                <w:color w:val="auto"/>
              </w:rPr>
              <w:t>7</w:t>
            </w:r>
            <w:r w:rsidRPr="00B972EB">
              <w:rPr>
                <w:rFonts w:cs="Arial"/>
                <w:color w:val="auto"/>
              </w:rPr>
              <w:t>% </w:t>
            </w:r>
          </w:p>
        </w:tc>
      </w:tr>
      <w:tr w:rsidR="00B972EB" w:rsidRPr="00B972EB" w14:paraId="39865B88"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50E4189F"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Academic year that our current pupil premium strategy plan covers  </w:t>
            </w:r>
          </w:p>
        </w:tc>
        <w:tc>
          <w:tcPr>
            <w:tcW w:w="2970" w:type="dxa"/>
            <w:tcBorders>
              <w:top w:val="single" w:sz="6" w:space="0" w:color="000000"/>
              <w:left w:val="single" w:sz="6" w:space="0" w:color="000000"/>
              <w:bottom w:val="single" w:sz="6" w:space="0" w:color="000000"/>
              <w:right w:val="single" w:sz="6" w:space="0" w:color="000000"/>
            </w:tcBorders>
            <w:hideMark/>
          </w:tcPr>
          <w:p w14:paraId="599162C1" w14:textId="22EB614F"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202</w:t>
            </w:r>
            <w:r>
              <w:rPr>
                <w:rFonts w:cs="Arial"/>
                <w:color w:val="auto"/>
              </w:rPr>
              <w:t>4</w:t>
            </w:r>
            <w:r w:rsidRPr="00B972EB">
              <w:rPr>
                <w:rFonts w:cs="Arial"/>
                <w:color w:val="auto"/>
              </w:rPr>
              <w:t>/202</w:t>
            </w:r>
            <w:r>
              <w:rPr>
                <w:rFonts w:cs="Arial"/>
                <w:color w:val="auto"/>
              </w:rPr>
              <w:t>5</w:t>
            </w:r>
            <w:r w:rsidRPr="00B972EB">
              <w:rPr>
                <w:rFonts w:cs="Arial"/>
                <w:color w:val="auto"/>
              </w:rPr>
              <w:t>  </w:t>
            </w:r>
          </w:p>
        </w:tc>
      </w:tr>
      <w:tr w:rsidR="00B972EB" w:rsidRPr="00B972EB" w14:paraId="34493F8E"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2724CF1"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Date this statement was published </w:t>
            </w:r>
          </w:p>
        </w:tc>
        <w:tc>
          <w:tcPr>
            <w:tcW w:w="2970" w:type="dxa"/>
            <w:tcBorders>
              <w:top w:val="single" w:sz="6" w:space="0" w:color="000000"/>
              <w:left w:val="single" w:sz="6" w:space="0" w:color="000000"/>
              <w:bottom w:val="single" w:sz="6" w:space="0" w:color="000000"/>
              <w:right w:val="single" w:sz="6" w:space="0" w:color="000000"/>
            </w:tcBorders>
            <w:hideMark/>
          </w:tcPr>
          <w:p w14:paraId="25FE9FE8" w14:textId="04701C70"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December 202</w:t>
            </w:r>
            <w:r>
              <w:rPr>
                <w:rFonts w:cs="Arial"/>
                <w:color w:val="auto"/>
              </w:rPr>
              <w:t>4</w:t>
            </w:r>
            <w:r w:rsidRPr="00B972EB">
              <w:rPr>
                <w:rFonts w:cs="Arial"/>
                <w:color w:val="auto"/>
              </w:rPr>
              <w:t> </w:t>
            </w:r>
          </w:p>
        </w:tc>
      </w:tr>
      <w:tr w:rsidR="00B972EB" w:rsidRPr="00B972EB" w14:paraId="6A7CFE70"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917EDDE"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Date on which it will be reviewed </w:t>
            </w:r>
          </w:p>
        </w:tc>
        <w:tc>
          <w:tcPr>
            <w:tcW w:w="2970" w:type="dxa"/>
            <w:tcBorders>
              <w:top w:val="single" w:sz="6" w:space="0" w:color="000000"/>
              <w:left w:val="single" w:sz="6" w:space="0" w:color="000000"/>
              <w:bottom w:val="single" w:sz="6" w:space="0" w:color="000000"/>
              <w:right w:val="single" w:sz="6" w:space="0" w:color="000000"/>
            </w:tcBorders>
            <w:hideMark/>
          </w:tcPr>
          <w:p w14:paraId="260D6233" w14:textId="4F0B9230"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Pr>
                <w:rFonts w:cs="Arial"/>
                <w:color w:val="auto"/>
              </w:rPr>
              <w:t>September</w:t>
            </w:r>
            <w:r w:rsidRPr="00B972EB">
              <w:rPr>
                <w:rFonts w:cs="Arial"/>
                <w:color w:val="auto"/>
              </w:rPr>
              <w:t xml:space="preserve"> 202</w:t>
            </w:r>
            <w:r>
              <w:rPr>
                <w:rFonts w:cs="Arial"/>
                <w:color w:val="auto"/>
              </w:rPr>
              <w:t>5</w:t>
            </w:r>
            <w:r w:rsidRPr="00B972EB">
              <w:rPr>
                <w:rFonts w:cs="Arial"/>
                <w:color w:val="auto"/>
              </w:rPr>
              <w:t> </w:t>
            </w:r>
          </w:p>
        </w:tc>
      </w:tr>
      <w:tr w:rsidR="00B972EB" w:rsidRPr="00B972EB" w14:paraId="2DFDBF48"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583A0C91"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Statement authorised by </w:t>
            </w:r>
          </w:p>
        </w:tc>
        <w:tc>
          <w:tcPr>
            <w:tcW w:w="2970" w:type="dxa"/>
            <w:tcBorders>
              <w:top w:val="single" w:sz="6" w:space="0" w:color="000000"/>
              <w:left w:val="single" w:sz="6" w:space="0" w:color="000000"/>
              <w:bottom w:val="single" w:sz="6" w:space="0" w:color="000000"/>
              <w:right w:val="single" w:sz="6" w:space="0" w:color="000000"/>
            </w:tcBorders>
            <w:hideMark/>
          </w:tcPr>
          <w:p w14:paraId="4600F682"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Allison Owens, Headteacher </w:t>
            </w:r>
          </w:p>
        </w:tc>
      </w:tr>
      <w:tr w:rsidR="00B972EB" w:rsidRPr="00B972EB" w14:paraId="7A8877B8"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A9FEFC4"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Pupil premium lead </w:t>
            </w:r>
          </w:p>
        </w:tc>
        <w:tc>
          <w:tcPr>
            <w:tcW w:w="2970" w:type="dxa"/>
            <w:tcBorders>
              <w:top w:val="single" w:sz="6" w:space="0" w:color="000000"/>
              <w:left w:val="single" w:sz="6" w:space="0" w:color="000000"/>
              <w:bottom w:val="single" w:sz="6" w:space="0" w:color="000000"/>
              <w:right w:val="single" w:sz="6" w:space="0" w:color="000000"/>
            </w:tcBorders>
            <w:hideMark/>
          </w:tcPr>
          <w:p w14:paraId="170A3FC3" w14:textId="77777777" w:rsidR="00B972EB" w:rsidRDefault="00B972EB" w:rsidP="00B972EB">
            <w:pPr>
              <w:suppressAutoHyphens w:val="0"/>
              <w:autoSpaceDN/>
              <w:spacing w:after="0" w:line="240" w:lineRule="auto"/>
              <w:ind w:left="45" w:right="45"/>
              <w:textAlignment w:val="baseline"/>
              <w:rPr>
                <w:rFonts w:cs="Arial"/>
                <w:color w:val="auto"/>
              </w:rPr>
            </w:pPr>
            <w:r>
              <w:rPr>
                <w:rFonts w:cs="Arial"/>
                <w:color w:val="auto"/>
              </w:rPr>
              <w:t>Allison Owens</w:t>
            </w:r>
            <w:r w:rsidRPr="00B972EB">
              <w:rPr>
                <w:rFonts w:cs="Arial"/>
                <w:color w:val="auto"/>
              </w:rPr>
              <w:t>, </w:t>
            </w:r>
          </w:p>
          <w:p w14:paraId="6CA113FB" w14:textId="16FD85FF" w:rsidR="00B972EB" w:rsidRPr="00B972EB" w:rsidRDefault="00B972EB" w:rsidP="00B972EB">
            <w:pPr>
              <w:suppressAutoHyphens w:val="0"/>
              <w:autoSpaceDN/>
              <w:spacing w:after="0" w:line="240" w:lineRule="auto"/>
              <w:ind w:left="45" w:right="45"/>
              <w:textAlignment w:val="baseline"/>
              <w:rPr>
                <w:rFonts w:cs="Arial"/>
                <w:color w:val="auto"/>
              </w:rPr>
            </w:pPr>
            <w:r w:rsidRPr="00B972EB">
              <w:rPr>
                <w:rFonts w:cs="Arial"/>
                <w:color w:val="auto"/>
              </w:rPr>
              <w:t>Headteacher </w:t>
            </w:r>
          </w:p>
        </w:tc>
      </w:tr>
      <w:tr w:rsidR="00B972EB" w:rsidRPr="00B972EB" w14:paraId="530CEAEB"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6065D1A4"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Governor  </w:t>
            </w:r>
          </w:p>
        </w:tc>
        <w:tc>
          <w:tcPr>
            <w:tcW w:w="2970" w:type="dxa"/>
            <w:tcBorders>
              <w:top w:val="single" w:sz="6" w:space="0" w:color="000000"/>
              <w:left w:val="single" w:sz="6" w:space="0" w:color="000000"/>
              <w:bottom w:val="single" w:sz="6" w:space="0" w:color="000000"/>
              <w:right w:val="single" w:sz="6" w:space="0" w:color="000000"/>
            </w:tcBorders>
            <w:hideMark/>
          </w:tcPr>
          <w:p w14:paraId="3D286DE6" w14:textId="77777777" w:rsidR="00B972EB" w:rsidRPr="00B972EB" w:rsidRDefault="00B972EB" w:rsidP="00B972EB">
            <w:pPr>
              <w:numPr>
                <w:ilvl w:val="0"/>
                <w:numId w:val="1"/>
              </w:numPr>
              <w:suppressAutoHyphens w:val="0"/>
              <w:autoSpaceDN/>
              <w:spacing w:after="0" w:line="240" w:lineRule="auto"/>
              <w:ind w:right="45"/>
              <w:textAlignment w:val="baseline"/>
              <w:rPr>
                <w:rFonts w:ascii="Times New Roman" w:hAnsi="Times New Roman"/>
              </w:rPr>
            </w:pPr>
            <w:r w:rsidRPr="00B972EB">
              <w:rPr>
                <w:rFonts w:cs="Arial"/>
                <w:color w:val="auto"/>
              </w:rPr>
              <w:t>Sam Calder-Terry, lead for disadvantaged pupils </w:t>
            </w:r>
          </w:p>
        </w:tc>
      </w:tr>
    </w:tbl>
    <w:p w14:paraId="319D1576" w14:textId="77777777" w:rsidR="00B972EB" w:rsidRPr="00B972EB" w:rsidRDefault="00B972EB" w:rsidP="00B972EB">
      <w:pPr>
        <w:numPr>
          <w:ilvl w:val="0"/>
          <w:numId w:val="1"/>
        </w:numPr>
        <w:suppressAutoHyphens w:val="0"/>
        <w:autoSpaceDN/>
        <w:spacing w:after="0" w:line="240" w:lineRule="auto"/>
        <w:textAlignment w:val="baseline"/>
        <w:rPr>
          <w:rFonts w:ascii="Segoe UI" w:hAnsi="Segoe UI" w:cs="Segoe UI"/>
          <w:sz w:val="18"/>
          <w:szCs w:val="18"/>
        </w:rPr>
      </w:pPr>
      <w:r w:rsidRPr="00B972EB">
        <w:rPr>
          <w:rFonts w:cs="Arial"/>
          <w:b/>
          <w:bCs/>
          <w:color w:val="auto"/>
          <w:sz w:val="32"/>
          <w:szCs w:val="32"/>
        </w:rPr>
        <w:t>Funding overview</w:t>
      </w:r>
      <w:r w:rsidRPr="00B972EB">
        <w:rPr>
          <w:rFonts w:cs="Arial"/>
          <w:color w:val="auto"/>
          <w:sz w:val="32"/>
          <w:szCs w:val="32"/>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970"/>
      </w:tblGrid>
      <w:tr w:rsidR="00B972EB" w:rsidRPr="00B972EB" w14:paraId="45B431D0"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D8E2E9"/>
            <w:vAlign w:val="center"/>
            <w:hideMark/>
          </w:tcPr>
          <w:p w14:paraId="724D0C68"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b/>
                <w:bCs/>
                <w:color w:val="auto"/>
              </w:rPr>
              <w:t>Detail</w:t>
            </w:r>
            <w:r w:rsidRPr="00B972EB">
              <w:rPr>
                <w:rFonts w:cs="Arial"/>
                <w:color w:val="auto"/>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8E2E9"/>
            <w:vAlign w:val="center"/>
            <w:hideMark/>
          </w:tcPr>
          <w:p w14:paraId="10E1E8FF"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b/>
                <w:bCs/>
                <w:color w:val="auto"/>
              </w:rPr>
              <w:t>Amount</w:t>
            </w:r>
            <w:r w:rsidRPr="00B972EB">
              <w:rPr>
                <w:rFonts w:cs="Arial"/>
                <w:color w:val="auto"/>
              </w:rPr>
              <w:t> </w:t>
            </w:r>
          </w:p>
        </w:tc>
      </w:tr>
      <w:tr w:rsidR="00B972EB" w:rsidRPr="00B972EB" w14:paraId="168E9D5C"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vAlign w:val="center"/>
            <w:hideMark/>
          </w:tcPr>
          <w:p w14:paraId="2CE7D4BA"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hideMark/>
          </w:tcPr>
          <w:p w14:paraId="54D8A714" w14:textId="4E4AA8ED"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£2</w:t>
            </w:r>
            <w:r>
              <w:rPr>
                <w:rFonts w:cs="Arial"/>
                <w:color w:val="auto"/>
              </w:rPr>
              <w:t>57</w:t>
            </w:r>
            <w:r w:rsidRPr="00B972EB">
              <w:rPr>
                <w:rFonts w:cs="Arial"/>
                <w:color w:val="auto"/>
              </w:rPr>
              <w:t>,</w:t>
            </w:r>
            <w:r>
              <w:rPr>
                <w:rFonts w:cs="Arial"/>
                <w:color w:val="auto"/>
              </w:rPr>
              <w:t>52</w:t>
            </w:r>
            <w:r w:rsidRPr="00B972EB">
              <w:rPr>
                <w:rFonts w:cs="Arial"/>
                <w:color w:val="auto"/>
              </w:rPr>
              <w:t>0 </w:t>
            </w:r>
          </w:p>
        </w:tc>
      </w:tr>
      <w:tr w:rsidR="00B972EB" w:rsidRPr="00B972EB" w14:paraId="5E047357"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vAlign w:val="center"/>
            <w:hideMark/>
          </w:tcPr>
          <w:p w14:paraId="347648D6"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Pupil premium funding carried forward from previous years </w:t>
            </w:r>
          </w:p>
        </w:tc>
        <w:tc>
          <w:tcPr>
            <w:tcW w:w="2970" w:type="dxa"/>
            <w:tcBorders>
              <w:top w:val="single" w:sz="6" w:space="0" w:color="000000"/>
              <w:left w:val="single" w:sz="6" w:space="0" w:color="000000"/>
              <w:bottom w:val="single" w:sz="6" w:space="0" w:color="000000"/>
              <w:right w:val="single" w:sz="6" w:space="0" w:color="000000"/>
            </w:tcBorders>
            <w:hideMark/>
          </w:tcPr>
          <w:p w14:paraId="38D4FD41"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Nil </w:t>
            </w:r>
          </w:p>
        </w:tc>
      </w:tr>
      <w:tr w:rsidR="00B972EB" w:rsidRPr="00B972EB" w14:paraId="52425F91" w14:textId="77777777" w:rsidTr="00B972EB">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6BC9AA71"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b/>
                <w:bCs/>
                <w:color w:val="auto"/>
              </w:rPr>
              <w:t>Total budget for this academic year</w:t>
            </w:r>
            <w:r w:rsidRPr="00B972EB">
              <w:rPr>
                <w:rFonts w:cs="Arial"/>
                <w:color w:val="auto"/>
              </w:rPr>
              <w:t> </w:t>
            </w:r>
          </w:p>
          <w:p w14:paraId="329CA916" w14:textId="77777777"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3F0F8A88" w14:textId="42B95885" w:rsidR="00B972EB" w:rsidRPr="00B972EB" w:rsidRDefault="00B972EB" w:rsidP="00B972EB">
            <w:pPr>
              <w:numPr>
                <w:ilvl w:val="0"/>
                <w:numId w:val="1"/>
              </w:numPr>
              <w:suppressAutoHyphens w:val="0"/>
              <w:autoSpaceDN/>
              <w:spacing w:after="0" w:line="240" w:lineRule="auto"/>
              <w:ind w:left="45" w:right="45"/>
              <w:textAlignment w:val="baseline"/>
              <w:rPr>
                <w:rFonts w:ascii="Times New Roman" w:hAnsi="Times New Roman"/>
              </w:rPr>
            </w:pPr>
            <w:r w:rsidRPr="00B972EB">
              <w:rPr>
                <w:rFonts w:cs="Arial"/>
                <w:color w:val="auto"/>
              </w:rPr>
              <w:t>£2</w:t>
            </w:r>
            <w:r>
              <w:rPr>
                <w:rFonts w:cs="Arial"/>
                <w:color w:val="auto"/>
              </w:rPr>
              <w:t>57</w:t>
            </w:r>
            <w:r w:rsidRPr="00B972EB">
              <w:rPr>
                <w:rFonts w:cs="Arial"/>
                <w:color w:val="auto"/>
              </w:rPr>
              <w:t>,</w:t>
            </w:r>
            <w:r>
              <w:rPr>
                <w:rFonts w:cs="Arial"/>
                <w:color w:val="auto"/>
              </w:rPr>
              <w:t>520</w:t>
            </w:r>
            <w:r w:rsidRPr="00B972EB">
              <w:rPr>
                <w:rFonts w:cs="Arial"/>
                <w:color w:val="auto"/>
              </w:rPr>
              <w:t> </w:t>
            </w:r>
          </w:p>
        </w:tc>
      </w:tr>
    </w:tbl>
    <w:p w14:paraId="605975C9" w14:textId="63089AE6" w:rsidR="00B972EB" w:rsidRDefault="00B972EB" w:rsidP="00F337E6">
      <w:pPr>
        <w:suppressAutoHyphens w:val="0"/>
        <w:spacing w:after="0" w:line="240" w:lineRule="auto"/>
        <w:rPr>
          <w:b/>
          <w:color w:val="17365D" w:themeColor="text2" w:themeShade="BF"/>
          <w:sz w:val="32"/>
        </w:rPr>
      </w:pPr>
    </w:p>
    <w:p w14:paraId="5C2B658F" w14:textId="77777777" w:rsidR="00B972EB" w:rsidRDefault="00B972EB" w:rsidP="00F337E6">
      <w:pPr>
        <w:suppressAutoHyphens w:val="0"/>
        <w:spacing w:after="0" w:line="240" w:lineRule="auto"/>
        <w:rPr>
          <w:b/>
          <w:color w:val="17365D" w:themeColor="text2" w:themeShade="BF"/>
          <w:sz w:val="32"/>
        </w:rPr>
      </w:pPr>
    </w:p>
    <w:p w14:paraId="0476B383" w14:textId="77777777" w:rsidR="00102275" w:rsidRDefault="00102275" w:rsidP="00F337E6">
      <w:pPr>
        <w:suppressAutoHyphens w:val="0"/>
        <w:spacing w:after="0" w:line="240" w:lineRule="auto"/>
        <w:rPr>
          <w:b/>
          <w:color w:val="17365D" w:themeColor="text2" w:themeShade="BF"/>
          <w:sz w:val="32"/>
        </w:rPr>
      </w:pPr>
    </w:p>
    <w:p w14:paraId="1DD2D7DE" w14:textId="76C1D0DD" w:rsidR="008F2E57" w:rsidRPr="00F337E6" w:rsidRDefault="008F2E57" w:rsidP="00F337E6">
      <w:pPr>
        <w:suppressAutoHyphens w:val="0"/>
        <w:spacing w:after="0" w:line="240" w:lineRule="auto"/>
        <w:rPr>
          <w:b/>
          <w:color w:val="17365D" w:themeColor="text2" w:themeShade="BF"/>
          <w:sz w:val="40"/>
          <w:szCs w:val="32"/>
        </w:rPr>
      </w:pPr>
      <w:r w:rsidRPr="00F337E6">
        <w:rPr>
          <w:b/>
          <w:color w:val="17365D" w:themeColor="text2" w:themeShade="BF"/>
          <w:sz w:val="32"/>
        </w:rPr>
        <w:t>Activity in this academic year</w:t>
      </w:r>
    </w:p>
    <w:p w14:paraId="0D7C079C" w14:textId="34DECF28" w:rsidR="008F2E57" w:rsidRPr="00F337E6" w:rsidRDefault="008F2E57" w:rsidP="008F2E57">
      <w:pPr>
        <w:spacing w:after="480"/>
        <w:rPr>
          <w:b/>
          <w:color w:val="17365D" w:themeColor="text2" w:themeShade="BF"/>
        </w:rPr>
      </w:pPr>
      <w:r w:rsidRPr="00F337E6">
        <w:rPr>
          <w:b/>
          <w:color w:val="17365D" w:themeColor="text2" w:themeShade="BF"/>
        </w:rPr>
        <w:t xml:space="preserve">This details how we intend to spend our pupil premium (and recovery premium funding) </w:t>
      </w:r>
      <w:r w:rsidRPr="00F337E6">
        <w:rPr>
          <w:b/>
          <w:bCs/>
          <w:color w:val="17365D" w:themeColor="text2" w:themeShade="BF"/>
        </w:rPr>
        <w:t>this academic year</w:t>
      </w:r>
      <w:r w:rsidRPr="00F337E6">
        <w:rPr>
          <w:b/>
          <w:color w:val="17365D" w:themeColor="text2" w:themeShade="BF"/>
        </w:rPr>
        <w:t xml:space="preserve"> to address the challenges listed above.</w:t>
      </w:r>
    </w:p>
    <w:p w14:paraId="321003F2" w14:textId="04CED2DC" w:rsidR="00D703F8" w:rsidRDefault="00D703F8" w:rsidP="00D703F8">
      <w:pPr>
        <w:pStyle w:val="Heading3"/>
      </w:pPr>
      <w:r>
        <w:t>Teaching (for example, CPD, recruitment and retention)</w:t>
      </w:r>
    </w:p>
    <w:p w14:paraId="2DF23D6C" w14:textId="3DC3722F" w:rsidR="00CF5C74" w:rsidRPr="00750C33" w:rsidRDefault="00BC0F34" w:rsidP="61C2FAD1">
      <w:pPr>
        <w:rPr>
          <w:b/>
          <w:bCs/>
          <w:color w:val="auto"/>
        </w:rPr>
      </w:pPr>
      <w:r w:rsidRPr="00BC0F34">
        <w:rPr>
          <w:b/>
        </w:rPr>
        <w:t>Budgeted cost:</w:t>
      </w:r>
      <w:r>
        <w:t xml:space="preserve"> </w:t>
      </w:r>
      <w:r w:rsidRPr="61C2FAD1">
        <w:rPr>
          <w:b/>
          <w:bCs/>
          <w:color w:val="auto"/>
        </w:rPr>
        <w:t>£</w:t>
      </w:r>
      <w:r w:rsidR="00582578">
        <w:rPr>
          <w:b/>
          <w:bCs/>
          <w:color w:val="auto"/>
        </w:rPr>
        <w:t>42</w:t>
      </w:r>
      <w:r w:rsidR="0059105A">
        <w:rPr>
          <w:b/>
          <w:bCs/>
          <w:color w:val="auto"/>
        </w:rPr>
        <w:t>,</w:t>
      </w:r>
      <w:r w:rsidR="00582578">
        <w:rPr>
          <w:b/>
          <w:bCs/>
          <w:color w:val="auto"/>
        </w:rPr>
        <w:t>2</w:t>
      </w:r>
      <w:r w:rsidR="0059105A">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D703F8" w14:paraId="60DB5C83" w14:textId="77777777" w:rsidTr="61C2FAD1">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DC4481" w14:textId="77777777" w:rsidR="00D703F8" w:rsidRDefault="00D703F8" w:rsidP="00B24BA3">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43CC5B4" w14:textId="77777777" w:rsidR="00D703F8" w:rsidRDefault="00D703F8" w:rsidP="00B24BA3">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A79771D" w14:textId="3A055A72" w:rsidR="00D703F8" w:rsidRDefault="009615BF" w:rsidP="00B24BA3">
            <w:pPr>
              <w:pStyle w:val="TableHeader"/>
              <w:jc w:val="left"/>
            </w:pPr>
            <w:r>
              <w:t>Cost</w:t>
            </w:r>
          </w:p>
        </w:tc>
      </w:tr>
      <w:tr w:rsidR="00D703F8" w14:paraId="218B487E" w14:textId="77777777" w:rsidTr="61C2FAD1">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2E54B" w14:textId="265ECA1C" w:rsidR="003B0F02" w:rsidRDefault="004F2A38" w:rsidP="0056679C">
            <w:pPr>
              <w:suppressAutoHyphens w:val="0"/>
              <w:autoSpaceDN/>
              <w:spacing w:before="60" w:line="240" w:lineRule="auto"/>
              <w:ind w:right="57"/>
              <w:rPr>
                <w:iCs/>
                <w:color w:val="auto"/>
                <w:lang w:val="en-US"/>
              </w:rPr>
            </w:pPr>
            <w:r>
              <w:rPr>
                <w:iCs/>
                <w:color w:val="auto"/>
                <w:lang w:val="en-US"/>
              </w:rPr>
              <w:t xml:space="preserve">Developing </w:t>
            </w:r>
            <w:r w:rsidR="0056679C">
              <w:rPr>
                <w:iCs/>
                <w:color w:val="auto"/>
                <w:lang w:val="en-US"/>
              </w:rPr>
              <w:t>ORACY</w:t>
            </w:r>
          </w:p>
          <w:p w14:paraId="1CD86B90" w14:textId="77777777" w:rsidR="001C5883" w:rsidRDefault="00680ADF" w:rsidP="00E0156C">
            <w:pPr>
              <w:suppressAutoHyphens w:val="0"/>
              <w:autoSpaceDN/>
              <w:spacing w:before="60" w:after="120" w:line="240" w:lineRule="auto"/>
              <w:ind w:right="57"/>
              <w:rPr>
                <w:rFonts w:ascii="Helvetica Neue" w:hAnsi="Helvetica Neue"/>
                <w:color w:val="374760"/>
              </w:rPr>
            </w:pPr>
            <w:r>
              <w:rPr>
                <w:color w:val="auto"/>
              </w:rPr>
              <w:t xml:space="preserve">Become a </w:t>
            </w:r>
            <w:r w:rsidR="00E0156C">
              <w:rPr>
                <w:color w:val="auto"/>
              </w:rPr>
              <w:t xml:space="preserve">Voice 21 Oracy School, beginning a </w:t>
            </w:r>
            <w:proofErr w:type="gramStart"/>
            <w:r w:rsidR="00E0156C">
              <w:rPr>
                <w:color w:val="auto"/>
              </w:rPr>
              <w:t>four year</w:t>
            </w:r>
            <w:proofErr w:type="gramEnd"/>
            <w:r w:rsidR="00E0156C">
              <w:rPr>
                <w:color w:val="auto"/>
              </w:rPr>
              <w:t xml:space="preserve"> programme of CPD. Voice </w:t>
            </w:r>
            <w:r w:rsidR="00E0156C">
              <w:rPr>
                <w:color w:val="auto"/>
              </w:rPr>
              <w:lastRenderedPageBreak/>
              <w:t xml:space="preserve">21 will </w:t>
            </w:r>
            <w:r w:rsidR="00E0156C">
              <w:rPr>
                <w:rFonts w:ascii="Helvetica Neue" w:hAnsi="Helvetica Neue"/>
                <w:color w:val="374760"/>
              </w:rPr>
              <w:t>provide comprehensive training and support to teachers and school leaders to embed oracy deliberately and explicitly in our teaching practices and across your curriculum.</w:t>
            </w:r>
          </w:p>
          <w:p w14:paraId="7712C9D4" w14:textId="77777777" w:rsidR="00D2337E" w:rsidRDefault="00D2337E" w:rsidP="00E0156C">
            <w:pPr>
              <w:suppressAutoHyphens w:val="0"/>
              <w:autoSpaceDN/>
              <w:spacing w:before="60" w:after="120" w:line="240" w:lineRule="auto"/>
              <w:ind w:right="57"/>
              <w:rPr>
                <w:color w:val="auto"/>
              </w:rPr>
            </w:pPr>
          </w:p>
          <w:p w14:paraId="6EE9EE1E" w14:textId="77777777" w:rsidR="00A96D44" w:rsidRDefault="00A96D44" w:rsidP="00E0156C">
            <w:pPr>
              <w:suppressAutoHyphens w:val="0"/>
              <w:autoSpaceDN/>
              <w:spacing w:before="60" w:after="120" w:line="240" w:lineRule="auto"/>
              <w:ind w:right="57"/>
              <w:rPr>
                <w:color w:val="auto"/>
              </w:rPr>
            </w:pPr>
            <w:r>
              <w:rPr>
                <w:color w:val="auto"/>
              </w:rPr>
              <w:t>Voice 21 Subscription</w:t>
            </w:r>
          </w:p>
          <w:p w14:paraId="63F1D767" w14:textId="77777777" w:rsidR="00A96D44" w:rsidRDefault="00A96D44" w:rsidP="00E0156C">
            <w:pPr>
              <w:suppressAutoHyphens w:val="0"/>
              <w:autoSpaceDN/>
              <w:spacing w:before="60" w:after="120" w:line="240" w:lineRule="auto"/>
              <w:ind w:right="57"/>
              <w:rPr>
                <w:color w:val="auto"/>
              </w:rPr>
            </w:pPr>
          </w:p>
          <w:p w14:paraId="709A3BD9" w14:textId="3CCB726F" w:rsidR="00A96D44" w:rsidRPr="00E27862" w:rsidRDefault="00A96D44" w:rsidP="00E0156C">
            <w:pPr>
              <w:suppressAutoHyphens w:val="0"/>
              <w:autoSpaceDN/>
              <w:spacing w:before="60" w:after="120" w:line="240" w:lineRule="auto"/>
              <w:ind w:right="57"/>
              <w:rPr>
                <w:color w:val="auto"/>
              </w:rPr>
            </w:pPr>
            <w:r>
              <w:rPr>
                <w:color w:val="auto"/>
              </w:rPr>
              <w:t xml:space="preserve">Release costs for 2 teachers to carry our role of ‘Oracy Champions’ leading training and monitoring provision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6E0DA" w14:textId="77777777" w:rsidR="00D703F8" w:rsidRPr="00E27862" w:rsidRDefault="00D703F8" w:rsidP="00B24BA3">
            <w:pPr>
              <w:suppressAutoHyphens w:val="0"/>
              <w:autoSpaceDN/>
              <w:spacing w:before="60" w:after="60" w:line="240" w:lineRule="auto"/>
              <w:ind w:left="57" w:right="57"/>
              <w:rPr>
                <w:rFonts w:cs="Arial"/>
                <w:color w:val="auto"/>
              </w:rPr>
            </w:pPr>
            <w:r w:rsidRPr="00E27862">
              <w:rPr>
                <w:rFonts w:cs="Arial"/>
                <w:color w:val="auto"/>
              </w:rPr>
              <w:lastRenderedPageBreak/>
              <w:t xml:space="preserve">There is a strong evidence base that suggests oral language interventions, including dialogic activities such as high-quality classroom discussion, are </w:t>
            </w:r>
            <w:r w:rsidRPr="00E27862">
              <w:rPr>
                <w:rFonts w:cs="Arial"/>
                <w:color w:val="auto"/>
              </w:rPr>
              <w:lastRenderedPageBreak/>
              <w:t>inexpensive to implement with high impacts on reading:</w:t>
            </w:r>
          </w:p>
          <w:p w14:paraId="3CC39980" w14:textId="77777777" w:rsidR="00D703F8" w:rsidRDefault="00D703F8" w:rsidP="00B24BA3">
            <w:pPr>
              <w:suppressAutoHyphens w:val="0"/>
              <w:autoSpaceDN/>
              <w:spacing w:before="60" w:after="60" w:line="240" w:lineRule="auto"/>
              <w:ind w:left="57" w:right="57"/>
              <w:rPr>
                <w:rFonts w:cs="Arial"/>
                <w:color w:val="0070C0"/>
                <w:u w:val="single"/>
              </w:rPr>
            </w:pPr>
            <w:hyperlink r:id="rId12" w:history="1">
              <w:r w:rsidRPr="00391C6D">
                <w:rPr>
                  <w:rFonts w:cs="Arial"/>
                  <w:color w:val="0070C0"/>
                  <w:u w:val="single"/>
                </w:rPr>
                <w:t>Oral language interventions | Toolkit Strand | Education Endowment Foundation | EEF</w:t>
              </w:r>
            </w:hyperlink>
          </w:p>
          <w:p w14:paraId="351B851D" w14:textId="77777777" w:rsidR="00E0156C" w:rsidRDefault="00E0156C" w:rsidP="00B24BA3">
            <w:pPr>
              <w:suppressAutoHyphens w:val="0"/>
              <w:autoSpaceDN/>
              <w:spacing w:before="60" w:after="60" w:line="240" w:lineRule="auto"/>
              <w:ind w:left="57" w:right="57"/>
              <w:rPr>
                <w:color w:val="auto"/>
              </w:rPr>
            </w:pPr>
          </w:p>
          <w:p w14:paraId="051CF021" w14:textId="572EDB35" w:rsidR="00E0156C" w:rsidRPr="00E27862" w:rsidRDefault="00E0156C" w:rsidP="00B24BA3">
            <w:pPr>
              <w:suppressAutoHyphens w:val="0"/>
              <w:autoSpaceDN/>
              <w:spacing w:before="60" w:after="60" w:line="240" w:lineRule="auto"/>
              <w:ind w:left="57" w:right="57"/>
              <w:rPr>
                <w:color w:val="auto"/>
              </w:rPr>
            </w:pPr>
            <w:r>
              <w:rPr>
                <w:color w:val="auto"/>
              </w:rPr>
              <w:t>Oracy is a powerful tool for learning: it is also a route to social mobility, empowering all students, not just some, to find their voice to succeed in school and life.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4C8CD" w14:textId="658CFF9E" w:rsidR="00D703F8" w:rsidRDefault="00D703F8" w:rsidP="00B24BA3">
            <w:pPr>
              <w:pStyle w:val="TableRowCentered"/>
              <w:jc w:val="left"/>
              <w:rPr>
                <w:color w:val="auto"/>
                <w:sz w:val="22"/>
                <w:szCs w:val="22"/>
              </w:rPr>
            </w:pPr>
          </w:p>
          <w:p w14:paraId="7E083DC1" w14:textId="77777777" w:rsidR="00D703F8" w:rsidRDefault="00D703F8" w:rsidP="00B24BA3">
            <w:pPr>
              <w:pStyle w:val="TableRowCentered"/>
              <w:jc w:val="left"/>
              <w:rPr>
                <w:color w:val="auto"/>
                <w:sz w:val="22"/>
                <w:szCs w:val="22"/>
              </w:rPr>
            </w:pPr>
          </w:p>
          <w:p w14:paraId="1D361ACA" w14:textId="77777777" w:rsidR="00D703F8" w:rsidRDefault="00D703F8" w:rsidP="00B24BA3">
            <w:pPr>
              <w:pStyle w:val="TableRowCentered"/>
              <w:jc w:val="left"/>
              <w:rPr>
                <w:color w:val="auto"/>
                <w:sz w:val="22"/>
                <w:szCs w:val="22"/>
              </w:rPr>
            </w:pPr>
          </w:p>
          <w:p w14:paraId="00045E9A" w14:textId="77777777" w:rsidR="00D703F8" w:rsidRDefault="001C5883" w:rsidP="00B24BA3">
            <w:pPr>
              <w:pStyle w:val="TableRowCentered"/>
              <w:jc w:val="left"/>
              <w:rPr>
                <w:color w:val="auto"/>
                <w:sz w:val="22"/>
                <w:szCs w:val="22"/>
              </w:rPr>
            </w:pPr>
            <w:r>
              <w:rPr>
                <w:color w:val="auto"/>
                <w:sz w:val="22"/>
                <w:szCs w:val="22"/>
              </w:rPr>
              <w:t xml:space="preserve">   </w:t>
            </w:r>
          </w:p>
          <w:p w14:paraId="239CEF61" w14:textId="77777777" w:rsidR="001C5883" w:rsidRDefault="001C5883" w:rsidP="00B24BA3">
            <w:pPr>
              <w:pStyle w:val="TableRowCentered"/>
              <w:jc w:val="left"/>
              <w:rPr>
                <w:color w:val="auto"/>
                <w:sz w:val="22"/>
                <w:szCs w:val="22"/>
              </w:rPr>
            </w:pPr>
          </w:p>
          <w:p w14:paraId="23AB0521" w14:textId="77777777" w:rsidR="001C5883" w:rsidRDefault="001C5883" w:rsidP="00B24BA3">
            <w:pPr>
              <w:pStyle w:val="TableRowCentered"/>
              <w:jc w:val="left"/>
              <w:rPr>
                <w:color w:val="auto"/>
                <w:sz w:val="22"/>
                <w:szCs w:val="22"/>
              </w:rPr>
            </w:pPr>
          </w:p>
          <w:p w14:paraId="73E63FBE" w14:textId="77777777" w:rsidR="001C5883" w:rsidRDefault="001C5883" w:rsidP="001C5883">
            <w:pPr>
              <w:pStyle w:val="TableRowCentered"/>
              <w:ind w:left="0"/>
              <w:jc w:val="left"/>
              <w:rPr>
                <w:color w:val="auto"/>
                <w:sz w:val="22"/>
                <w:szCs w:val="22"/>
              </w:rPr>
            </w:pPr>
          </w:p>
          <w:p w14:paraId="013F75C3" w14:textId="77777777" w:rsidR="00A96D44" w:rsidRDefault="00A96D44" w:rsidP="001C5883">
            <w:pPr>
              <w:pStyle w:val="TableRowCentered"/>
              <w:ind w:left="0"/>
              <w:jc w:val="left"/>
              <w:rPr>
                <w:color w:val="auto"/>
                <w:sz w:val="22"/>
                <w:szCs w:val="22"/>
              </w:rPr>
            </w:pPr>
          </w:p>
          <w:p w14:paraId="5289A2D9" w14:textId="77777777" w:rsidR="00A96D44" w:rsidRDefault="00A96D44" w:rsidP="001C5883">
            <w:pPr>
              <w:pStyle w:val="TableRowCentered"/>
              <w:ind w:left="0"/>
              <w:jc w:val="left"/>
              <w:rPr>
                <w:color w:val="auto"/>
                <w:sz w:val="22"/>
                <w:szCs w:val="22"/>
              </w:rPr>
            </w:pPr>
          </w:p>
          <w:p w14:paraId="7EEF73C6" w14:textId="77777777" w:rsidR="00A96D44" w:rsidRDefault="00A96D44" w:rsidP="001C5883">
            <w:pPr>
              <w:pStyle w:val="TableRowCentered"/>
              <w:ind w:left="0"/>
              <w:jc w:val="left"/>
              <w:rPr>
                <w:color w:val="auto"/>
                <w:sz w:val="22"/>
                <w:szCs w:val="22"/>
              </w:rPr>
            </w:pPr>
          </w:p>
          <w:p w14:paraId="0DFCF15C" w14:textId="77777777" w:rsidR="00A96D44" w:rsidRDefault="00A96D44" w:rsidP="001C5883">
            <w:pPr>
              <w:pStyle w:val="TableRowCentered"/>
              <w:ind w:left="0"/>
              <w:jc w:val="left"/>
              <w:rPr>
                <w:color w:val="auto"/>
                <w:sz w:val="22"/>
                <w:szCs w:val="22"/>
              </w:rPr>
            </w:pPr>
          </w:p>
          <w:p w14:paraId="6CF2D4BF" w14:textId="77777777" w:rsidR="00A96D44" w:rsidRDefault="00A96D44" w:rsidP="001C5883">
            <w:pPr>
              <w:pStyle w:val="TableRowCentered"/>
              <w:ind w:left="0"/>
              <w:jc w:val="left"/>
              <w:rPr>
                <w:color w:val="auto"/>
                <w:sz w:val="22"/>
                <w:szCs w:val="22"/>
              </w:rPr>
            </w:pPr>
          </w:p>
          <w:p w14:paraId="2308D530" w14:textId="77777777" w:rsidR="00A96D44" w:rsidRDefault="00A96D44" w:rsidP="001C5883">
            <w:pPr>
              <w:pStyle w:val="TableRowCentered"/>
              <w:ind w:left="0"/>
              <w:jc w:val="left"/>
              <w:rPr>
                <w:color w:val="auto"/>
                <w:sz w:val="22"/>
                <w:szCs w:val="22"/>
              </w:rPr>
            </w:pPr>
          </w:p>
          <w:p w14:paraId="25B4C21B" w14:textId="77777777" w:rsidR="001C5883" w:rsidRDefault="001C5883" w:rsidP="001C5883">
            <w:pPr>
              <w:pStyle w:val="TableRowCentered"/>
              <w:ind w:left="0"/>
              <w:jc w:val="left"/>
              <w:rPr>
                <w:color w:val="auto"/>
                <w:sz w:val="22"/>
                <w:szCs w:val="22"/>
              </w:rPr>
            </w:pPr>
            <w:r>
              <w:rPr>
                <w:color w:val="auto"/>
                <w:sz w:val="22"/>
                <w:szCs w:val="22"/>
              </w:rPr>
              <w:t>£</w:t>
            </w:r>
            <w:r w:rsidR="00A96D44">
              <w:rPr>
                <w:color w:val="auto"/>
                <w:sz w:val="22"/>
                <w:szCs w:val="22"/>
              </w:rPr>
              <w:t>3,450</w:t>
            </w:r>
          </w:p>
          <w:p w14:paraId="3B7C16DC" w14:textId="77777777" w:rsidR="00A96D44" w:rsidRDefault="00A96D44" w:rsidP="001C5883">
            <w:pPr>
              <w:pStyle w:val="TableRowCentered"/>
              <w:ind w:left="0"/>
              <w:jc w:val="left"/>
              <w:rPr>
                <w:color w:val="auto"/>
                <w:sz w:val="22"/>
                <w:szCs w:val="22"/>
              </w:rPr>
            </w:pPr>
          </w:p>
          <w:p w14:paraId="14D5C965" w14:textId="77777777" w:rsidR="00A96D44" w:rsidRDefault="00A96D44" w:rsidP="001C5883">
            <w:pPr>
              <w:pStyle w:val="TableRowCentered"/>
              <w:ind w:left="0"/>
              <w:jc w:val="left"/>
              <w:rPr>
                <w:color w:val="auto"/>
                <w:sz w:val="22"/>
                <w:szCs w:val="22"/>
              </w:rPr>
            </w:pPr>
          </w:p>
          <w:p w14:paraId="3FAE6CA8" w14:textId="2460F427" w:rsidR="00A96D44" w:rsidRPr="00E27862" w:rsidRDefault="00A96D44" w:rsidP="001C5883">
            <w:pPr>
              <w:pStyle w:val="TableRowCentered"/>
              <w:ind w:left="0"/>
              <w:jc w:val="left"/>
              <w:rPr>
                <w:color w:val="auto"/>
                <w:sz w:val="22"/>
                <w:szCs w:val="22"/>
              </w:rPr>
            </w:pPr>
            <w:r>
              <w:rPr>
                <w:color w:val="auto"/>
                <w:sz w:val="22"/>
                <w:szCs w:val="22"/>
              </w:rPr>
              <w:t>£</w:t>
            </w:r>
            <w:r w:rsidR="008F3703">
              <w:rPr>
                <w:color w:val="auto"/>
                <w:sz w:val="22"/>
                <w:szCs w:val="22"/>
              </w:rPr>
              <w:t>20</w:t>
            </w:r>
            <w:r>
              <w:rPr>
                <w:color w:val="auto"/>
                <w:sz w:val="22"/>
                <w:szCs w:val="22"/>
              </w:rPr>
              <w:t>00</w:t>
            </w:r>
          </w:p>
        </w:tc>
      </w:tr>
      <w:tr w:rsidR="00D703F8" w14:paraId="1CC73F0E" w14:textId="77777777" w:rsidTr="61C2FAD1">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DBFA6" w14:textId="2398CB01" w:rsidR="00626A42" w:rsidRDefault="00626A42" w:rsidP="00B24BA3">
            <w:pPr>
              <w:suppressAutoHyphens w:val="0"/>
              <w:autoSpaceDN/>
              <w:spacing w:before="60" w:after="120" w:line="240" w:lineRule="auto"/>
              <w:ind w:left="29" w:right="57"/>
            </w:pPr>
            <w:r>
              <w:lastRenderedPageBreak/>
              <w:t>Phonics</w:t>
            </w:r>
          </w:p>
          <w:p w14:paraId="2A1CD16C" w14:textId="77777777" w:rsidR="00626A42" w:rsidRDefault="00626A42" w:rsidP="00B24BA3">
            <w:pPr>
              <w:suppressAutoHyphens w:val="0"/>
              <w:autoSpaceDN/>
              <w:spacing w:before="60" w:after="120" w:line="240" w:lineRule="auto"/>
              <w:ind w:left="29" w:right="57"/>
            </w:pPr>
          </w:p>
          <w:p w14:paraId="441BA3A6" w14:textId="3B88D54B" w:rsidR="00D703F8" w:rsidRDefault="00D703F8" w:rsidP="00B24BA3">
            <w:pPr>
              <w:suppressAutoHyphens w:val="0"/>
              <w:autoSpaceDN/>
              <w:spacing w:before="60" w:after="120" w:line="240" w:lineRule="auto"/>
              <w:ind w:left="29" w:right="57"/>
              <w:rPr>
                <w:rFonts w:cs="Arial"/>
                <w:iCs/>
                <w:color w:val="auto"/>
              </w:rPr>
            </w:pPr>
            <w:hyperlink r:id="rId13"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w:t>
            </w:r>
            <w:r>
              <w:rPr>
                <w:rFonts w:cs="Arial"/>
                <w:iCs/>
                <w:color w:val="auto"/>
              </w:rPr>
              <w:t xml:space="preserve">(Little Wandle), </w:t>
            </w:r>
            <w:r w:rsidRPr="00E27862">
              <w:rPr>
                <w:rFonts w:cs="Arial"/>
                <w:iCs/>
                <w:color w:val="auto"/>
              </w:rPr>
              <w:t>to secure stronger phonics teaching for all pupils.</w:t>
            </w:r>
          </w:p>
          <w:p w14:paraId="059EE6CD" w14:textId="77777777" w:rsidR="00A96D44" w:rsidRDefault="001D6CF1" w:rsidP="00B24BA3">
            <w:pPr>
              <w:suppressAutoHyphens w:val="0"/>
              <w:autoSpaceDN/>
              <w:spacing w:before="60" w:after="120" w:line="240" w:lineRule="auto"/>
              <w:ind w:left="29" w:right="57"/>
              <w:rPr>
                <w:rFonts w:cs="Arial"/>
                <w:iCs/>
                <w:color w:val="auto"/>
              </w:rPr>
            </w:pPr>
            <w:r>
              <w:rPr>
                <w:rFonts w:cs="Arial"/>
                <w:iCs/>
                <w:color w:val="auto"/>
              </w:rPr>
              <w:t xml:space="preserve">To purchase Little Wandle Fluency </w:t>
            </w:r>
            <w:r w:rsidR="00A96D44">
              <w:rPr>
                <w:rFonts w:cs="Arial"/>
                <w:iCs/>
                <w:color w:val="auto"/>
              </w:rPr>
              <w:t xml:space="preserve">and SEND </w:t>
            </w:r>
            <w:r>
              <w:rPr>
                <w:rFonts w:cs="Arial"/>
                <w:iCs/>
                <w:color w:val="auto"/>
              </w:rPr>
              <w:t>books</w:t>
            </w:r>
            <w:r w:rsidR="00A96D44">
              <w:rPr>
                <w:rFonts w:cs="Arial"/>
                <w:iCs/>
                <w:color w:val="auto"/>
              </w:rPr>
              <w:t xml:space="preserve"> (Harper Collins).</w:t>
            </w:r>
          </w:p>
          <w:p w14:paraId="0B6B6D4D" w14:textId="0CEAEF30" w:rsidR="001D6CF1" w:rsidRDefault="00A96D44" w:rsidP="00B24BA3">
            <w:pPr>
              <w:suppressAutoHyphens w:val="0"/>
              <w:autoSpaceDN/>
              <w:spacing w:before="60" w:after="120" w:line="240" w:lineRule="auto"/>
              <w:ind w:left="29" w:right="57"/>
              <w:rPr>
                <w:rFonts w:cs="Arial"/>
                <w:iCs/>
                <w:color w:val="auto"/>
              </w:rPr>
            </w:pPr>
            <w:r>
              <w:rPr>
                <w:rFonts w:cs="Arial"/>
                <w:iCs/>
                <w:color w:val="auto"/>
              </w:rPr>
              <w:t>S</w:t>
            </w:r>
            <w:r w:rsidR="001D6CF1">
              <w:rPr>
                <w:rFonts w:cs="Arial"/>
                <w:iCs/>
                <w:color w:val="auto"/>
              </w:rPr>
              <w:t>ubscribe to the Little Wandle Website, which provides training and resources for staff.</w:t>
            </w:r>
          </w:p>
          <w:p w14:paraId="2BE6B9DD" w14:textId="0CF067F2" w:rsidR="00A96D44" w:rsidRDefault="00A96D44" w:rsidP="00B24BA3">
            <w:pPr>
              <w:suppressAutoHyphens w:val="0"/>
              <w:autoSpaceDN/>
              <w:spacing w:before="60" w:after="120" w:line="240" w:lineRule="auto"/>
              <w:ind w:left="29" w:right="57"/>
              <w:rPr>
                <w:rFonts w:cs="Arial"/>
                <w:iCs/>
                <w:color w:val="auto"/>
              </w:rPr>
            </w:pPr>
            <w:r>
              <w:rPr>
                <w:rFonts w:cs="Arial"/>
                <w:iCs/>
                <w:color w:val="auto"/>
              </w:rPr>
              <w:t>Teaching Assistants time allocated to delivering phonics sessions across the school.</w:t>
            </w:r>
          </w:p>
          <w:p w14:paraId="7361EFDE" w14:textId="3F929812" w:rsidR="003D7ACE" w:rsidRPr="00E27862" w:rsidRDefault="003D7ACE" w:rsidP="00B24BA3">
            <w:pPr>
              <w:suppressAutoHyphens w:val="0"/>
              <w:autoSpaceDN/>
              <w:spacing w:before="60" w:after="120" w:line="240" w:lineRule="auto"/>
              <w:ind w:left="29" w:right="57"/>
              <w:rPr>
                <w:rFonts w:cs="Arial"/>
                <w:iCs/>
                <w:color w:val="auto"/>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C0C51" w14:textId="77777777" w:rsidR="00D703F8" w:rsidRPr="00E27862" w:rsidRDefault="00D703F8" w:rsidP="00B24BA3">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0DB12BDD" w14:textId="77777777" w:rsidR="00D703F8" w:rsidRPr="00E27862" w:rsidRDefault="00D703F8" w:rsidP="00B24BA3">
            <w:pPr>
              <w:pStyle w:val="TableRowCentered"/>
              <w:spacing w:after="120"/>
              <w:jc w:val="left"/>
              <w:rPr>
                <w:rFonts w:cs="Arial"/>
                <w:color w:val="auto"/>
                <w:szCs w:val="24"/>
              </w:rPr>
            </w:pPr>
            <w:hyperlink r:id="rId14" w:history="1">
              <w:r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C65BF" w14:textId="7A59645E" w:rsidR="00D703F8" w:rsidRDefault="00D703F8" w:rsidP="00B24BA3">
            <w:pPr>
              <w:pStyle w:val="TableRowCentered"/>
              <w:jc w:val="left"/>
              <w:rPr>
                <w:color w:val="auto"/>
                <w:szCs w:val="24"/>
              </w:rPr>
            </w:pPr>
          </w:p>
          <w:p w14:paraId="496A563B" w14:textId="77777777" w:rsidR="00D703F8" w:rsidRDefault="00D703F8" w:rsidP="00B24BA3">
            <w:pPr>
              <w:pStyle w:val="TableRowCentered"/>
              <w:jc w:val="left"/>
              <w:rPr>
                <w:color w:val="auto"/>
                <w:szCs w:val="24"/>
              </w:rPr>
            </w:pPr>
          </w:p>
          <w:p w14:paraId="7CC0E500" w14:textId="77777777" w:rsidR="003D7ACE" w:rsidRDefault="003D7ACE" w:rsidP="00B24BA3">
            <w:pPr>
              <w:pStyle w:val="TableRowCentered"/>
              <w:jc w:val="left"/>
              <w:rPr>
                <w:color w:val="auto"/>
                <w:szCs w:val="24"/>
              </w:rPr>
            </w:pPr>
          </w:p>
          <w:p w14:paraId="134715BE" w14:textId="77777777" w:rsidR="003D7ACE" w:rsidRDefault="003D7ACE" w:rsidP="00B24BA3">
            <w:pPr>
              <w:pStyle w:val="TableRowCentered"/>
              <w:jc w:val="left"/>
              <w:rPr>
                <w:color w:val="auto"/>
                <w:szCs w:val="24"/>
              </w:rPr>
            </w:pPr>
          </w:p>
          <w:p w14:paraId="5FE4828A" w14:textId="77777777" w:rsidR="003D7ACE" w:rsidRDefault="003D7ACE" w:rsidP="00B24BA3">
            <w:pPr>
              <w:pStyle w:val="TableRowCentered"/>
              <w:jc w:val="left"/>
              <w:rPr>
                <w:color w:val="auto"/>
                <w:szCs w:val="24"/>
              </w:rPr>
            </w:pPr>
          </w:p>
          <w:p w14:paraId="207F76C3" w14:textId="77777777" w:rsidR="00A96D44" w:rsidRDefault="00A96D44" w:rsidP="003D7ACE">
            <w:pPr>
              <w:pStyle w:val="TableRowCentered"/>
              <w:ind w:left="0"/>
              <w:jc w:val="left"/>
              <w:rPr>
                <w:color w:val="auto"/>
                <w:szCs w:val="24"/>
              </w:rPr>
            </w:pPr>
          </w:p>
          <w:p w14:paraId="5A457A54" w14:textId="77777777" w:rsidR="00A96D44" w:rsidRDefault="00A96D44" w:rsidP="003D7ACE">
            <w:pPr>
              <w:pStyle w:val="TableRowCentered"/>
              <w:ind w:left="0"/>
              <w:jc w:val="left"/>
              <w:rPr>
                <w:color w:val="auto"/>
                <w:szCs w:val="24"/>
              </w:rPr>
            </w:pPr>
          </w:p>
          <w:p w14:paraId="0678F348" w14:textId="77777777" w:rsidR="00A96D44" w:rsidRDefault="00A96D44" w:rsidP="003D7ACE">
            <w:pPr>
              <w:pStyle w:val="TableRowCentered"/>
              <w:ind w:left="0"/>
              <w:jc w:val="left"/>
              <w:rPr>
                <w:color w:val="auto"/>
                <w:szCs w:val="24"/>
              </w:rPr>
            </w:pPr>
          </w:p>
          <w:p w14:paraId="2131406A" w14:textId="0943690D" w:rsidR="003D7ACE" w:rsidRDefault="003D7ACE" w:rsidP="003D7ACE">
            <w:pPr>
              <w:pStyle w:val="TableRowCentered"/>
              <w:ind w:left="0"/>
              <w:jc w:val="left"/>
              <w:rPr>
                <w:color w:val="auto"/>
                <w:szCs w:val="24"/>
              </w:rPr>
            </w:pPr>
            <w:r>
              <w:rPr>
                <w:color w:val="auto"/>
                <w:szCs w:val="24"/>
              </w:rPr>
              <w:t>£</w:t>
            </w:r>
            <w:r w:rsidR="00A96D44">
              <w:rPr>
                <w:color w:val="auto"/>
                <w:szCs w:val="24"/>
              </w:rPr>
              <w:t>2,500</w:t>
            </w:r>
          </w:p>
          <w:p w14:paraId="1EFD90FB" w14:textId="77777777" w:rsidR="00A96D44" w:rsidRDefault="00A96D44" w:rsidP="003D7ACE">
            <w:pPr>
              <w:pStyle w:val="TableRowCentered"/>
              <w:ind w:left="0"/>
              <w:jc w:val="left"/>
              <w:rPr>
                <w:color w:val="auto"/>
                <w:szCs w:val="24"/>
              </w:rPr>
            </w:pPr>
          </w:p>
          <w:p w14:paraId="3E138B3C" w14:textId="77777777" w:rsidR="003D7ACE" w:rsidRDefault="003D7ACE" w:rsidP="003D7ACE">
            <w:pPr>
              <w:pStyle w:val="TableRowCentered"/>
              <w:ind w:left="0"/>
              <w:jc w:val="left"/>
              <w:rPr>
                <w:color w:val="auto"/>
                <w:szCs w:val="24"/>
              </w:rPr>
            </w:pPr>
            <w:r>
              <w:rPr>
                <w:color w:val="auto"/>
                <w:szCs w:val="24"/>
              </w:rPr>
              <w:t>£</w:t>
            </w:r>
            <w:r w:rsidR="00A96D44" w:rsidRPr="00A96D44">
              <w:rPr>
                <w:color w:val="auto"/>
                <w:szCs w:val="24"/>
              </w:rPr>
              <w:t>1</w:t>
            </w:r>
            <w:r w:rsidR="00A96D44">
              <w:rPr>
                <w:color w:val="auto"/>
                <w:szCs w:val="24"/>
              </w:rPr>
              <w:t>,250</w:t>
            </w:r>
          </w:p>
          <w:p w14:paraId="0E18525C" w14:textId="77777777" w:rsidR="00A96D44" w:rsidRDefault="00A96D44" w:rsidP="003D7ACE">
            <w:pPr>
              <w:pStyle w:val="TableRowCentered"/>
              <w:ind w:left="0"/>
              <w:jc w:val="left"/>
              <w:rPr>
                <w:color w:val="auto"/>
                <w:szCs w:val="24"/>
              </w:rPr>
            </w:pPr>
          </w:p>
          <w:p w14:paraId="6B2E748A" w14:textId="77777777" w:rsidR="00A96D44" w:rsidRDefault="00A96D44" w:rsidP="003D7ACE">
            <w:pPr>
              <w:pStyle w:val="TableRowCentered"/>
              <w:ind w:left="0"/>
              <w:jc w:val="left"/>
              <w:rPr>
                <w:color w:val="auto"/>
                <w:szCs w:val="24"/>
              </w:rPr>
            </w:pPr>
          </w:p>
          <w:p w14:paraId="68082D85" w14:textId="35FD3E6A" w:rsidR="00A96D44" w:rsidRPr="00E27862" w:rsidRDefault="00A96D44" w:rsidP="003D7ACE">
            <w:pPr>
              <w:pStyle w:val="TableRowCentered"/>
              <w:ind w:left="0"/>
              <w:jc w:val="left"/>
              <w:rPr>
                <w:color w:val="auto"/>
                <w:szCs w:val="24"/>
              </w:rPr>
            </w:pPr>
            <w:r>
              <w:rPr>
                <w:color w:val="auto"/>
                <w:szCs w:val="24"/>
              </w:rPr>
              <w:t>£</w:t>
            </w:r>
            <w:r w:rsidR="00582578">
              <w:rPr>
                <w:color w:val="auto"/>
                <w:szCs w:val="24"/>
              </w:rPr>
              <w:t>3</w:t>
            </w:r>
            <w:r w:rsidR="0059105A">
              <w:rPr>
                <w:color w:val="auto"/>
                <w:szCs w:val="24"/>
              </w:rPr>
              <w:t>0</w:t>
            </w:r>
            <w:r>
              <w:rPr>
                <w:color w:val="auto"/>
                <w:szCs w:val="24"/>
              </w:rPr>
              <w:t>000</w:t>
            </w:r>
          </w:p>
        </w:tc>
      </w:tr>
      <w:tr w:rsidR="00D703F8" w14:paraId="7EE63CD4" w14:textId="77777777" w:rsidTr="61C2FAD1">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F2E2E" w14:textId="4F17EFD4" w:rsidR="00626A42" w:rsidRDefault="00626A42" w:rsidP="00B24BA3">
            <w:pPr>
              <w:pStyle w:val="xmsonormal"/>
              <w:numPr>
                <w:ilvl w:val="0"/>
                <w:numId w:val="1"/>
              </w:numPr>
              <w:spacing w:after="0"/>
              <w:rPr>
                <w:rFonts w:ascii="Arial" w:hAnsi="Arial" w:cs="Arial"/>
                <w:color w:val="000000"/>
                <w:szCs w:val="22"/>
              </w:rPr>
            </w:pPr>
            <w:r>
              <w:rPr>
                <w:rFonts w:ascii="Arial" w:hAnsi="Arial" w:cs="Arial"/>
                <w:color w:val="000000"/>
                <w:szCs w:val="22"/>
              </w:rPr>
              <w:t xml:space="preserve">Mathematics </w:t>
            </w:r>
          </w:p>
          <w:p w14:paraId="152E30B5" w14:textId="77777777" w:rsidR="00626A42" w:rsidRDefault="00626A42" w:rsidP="00B24BA3">
            <w:pPr>
              <w:pStyle w:val="xmsonormal"/>
              <w:numPr>
                <w:ilvl w:val="0"/>
                <w:numId w:val="1"/>
              </w:numPr>
              <w:spacing w:after="0"/>
              <w:rPr>
                <w:rFonts w:ascii="Arial" w:hAnsi="Arial" w:cs="Arial"/>
                <w:color w:val="000000"/>
                <w:szCs w:val="22"/>
              </w:rPr>
            </w:pPr>
          </w:p>
          <w:p w14:paraId="38CB93B9" w14:textId="0B7B5310" w:rsidR="00D703F8" w:rsidRPr="000C6921" w:rsidRDefault="00D703F8" w:rsidP="00B24BA3">
            <w:pPr>
              <w:pStyle w:val="xmsonormal"/>
              <w:numPr>
                <w:ilvl w:val="0"/>
                <w:numId w:val="1"/>
              </w:numPr>
              <w:spacing w:after="0"/>
              <w:rPr>
                <w:rFonts w:ascii="Arial" w:hAnsi="Arial" w:cs="Arial"/>
                <w:color w:val="000000"/>
                <w:szCs w:val="22"/>
              </w:rPr>
            </w:pPr>
            <w:r>
              <w:rPr>
                <w:rFonts w:ascii="Arial" w:hAnsi="Arial" w:cs="Arial"/>
                <w:color w:val="000000"/>
                <w:szCs w:val="22"/>
              </w:rPr>
              <w:t>Through training, coaching and mentoring, e</w:t>
            </w:r>
            <w:r w:rsidRPr="000C6921">
              <w:rPr>
                <w:rFonts w:ascii="Arial" w:hAnsi="Arial" w:cs="Arial"/>
                <w:color w:val="000000"/>
                <w:szCs w:val="22"/>
              </w:rPr>
              <w:t>nsure that teachers and staff are confident and have the necessary subject knowledge and pedagogy to deliver high-quality teaching, learning and assessment, including same day catch up sessions</w:t>
            </w:r>
            <w:r>
              <w:rPr>
                <w:rFonts w:ascii="Arial" w:hAnsi="Arial" w:cs="Arial"/>
                <w:color w:val="000000"/>
                <w:szCs w:val="22"/>
              </w:rPr>
              <w:t>.</w:t>
            </w:r>
            <w:r w:rsidRPr="000C6921">
              <w:rPr>
                <w:rFonts w:ascii="Arial" w:hAnsi="Arial" w:cs="Arial"/>
                <w:color w:val="000000"/>
                <w:szCs w:val="22"/>
              </w:rPr>
              <w:t xml:space="preserve">  </w:t>
            </w:r>
          </w:p>
          <w:p w14:paraId="74EEF3AD" w14:textId="77777777" w:rsidR="00D703F8" w:rsidRPr="000C6921" w:rsidRDefault="00D703F8" w:rsidP="00B24BA3">
            <w:pPr>
              <w:spacing w:before="60" w:after="120" w:line="240" w:lineRule="auto"/>
              <w:ind w:left="28" w:right="57"/>
              <w:rPr>
                <w:rFonts w:asciiTheme="minorHAnsi" w:hAnsiTheme="minorHAnsi" w:cstheme="minorHAnsi"/>
                <w:iCs/>
                <w:color w:val="auto"/>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71B07" w14:textId="77777777" w:rsidR="00D703F8" w:rsidRPr="00E27862" w:rsidRDefault="00D703F8" w:rsidP="00B24BA3">
            <w:pPr>
              <w:suppressAutoHyphens w:val="0"/>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Teaching of Mathematics, drawing on evidence-based approaches: </w:t>
            </w:r>
          </w:p>
          <w:p w14:paraId="41A493AA" w14:textId="77777777" w:rsidR="00D703F8" w:rsidRPr="00D01A6D" w:rsidRDefault="00D703F8" w:rsidP="00B24BA3">
            <w:pPr>
              <w:suppressAutoHyphens w:val="0"/>
              <w:autoSpaceDN/>
              <w:spacing w:before="60" w:after="120" w:line="240" w:lineRule="auto"/>
              <w:ind w:left="57" w:right="57"/>
              <w:rPr>
                <w:rFonts w:cs="Arial"/>
                <w:iCs/>
                <w:color w:val="0070C0"/>
              </w:rPr>
            </w:pPr>
            <w:hyperlink r:id="rId15" w:history="1">
              <w:r w:rsidRPr="00D01A6D">
                <w:rPr>
                  <w:color w:val="0070C0"/>
                  <w:u w:val="single"/>
                </w:rPr>
                <w:t>Maths_guidance_KS_1_and_2.pdf (publishing.service.gov.uk)</w:t>
              </w:r>
            </w:hyperlink>
          </w:p>
          <w:p w14:paraId="61C1BC78" w14:textId="77777777" w:rsidR="00D703F8" w:rsidRPr="00E27862" w:rsidRDefault="00D703F8" w:rsidP="00B24BA3">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60682E05" w14:textId="77777777" w:rsidR="00D703F8" w:rsidRPr="00E27862" w:rsidRDefault="00D703F8" w:rsidP="00B24BA3">
            <w:pPr>
              <w:suppressAutoHyphens w:val="0"/>
              <w:autoSpaceDN/>
              <w:spacing w:before="60" w:after="120" w:line="240" w:lineRule="auto"/>
              <w:ind w:left="57" w:right="57"/>
              <w:rPr>
                <w:rFonts w:cs="Arial"/>
                <w:color w:val="auto"/>
                <w:u w:val="single"/>
              </w:rPr>
            </w:pPr>
            <w:hyperlink r:id="rId16" w:history="1">
              <w:r w:rsidRPr="000106A2">
                <w:rPr>
                  <w:rStyle w:val="Hyperlink"/>
                  <w:rFonts w:cs="Arial"/>
                  <w:color w:val="0070C0"/>
                </w:rPr>
                <w:t>Improving Mathematics in Key Stages 2 and 3</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A5B46" w14:textId="7584308F" w:rsidR="00D703F8" w:rsidRDefault="00D703F8" w:rsidP="00B24BA3">
            <w:pPr>
              <w:pStyle w:val="TableRowCentered"/>
              <w:jc w:val="left"/>
              <w:rPr>
                <w:color w:val="auto"/>
                <w:szCs w:val="24"/>
              </w:rPr>
            </w:pPr>
          </w:p>
          <w:p w14:paraId="0F0682FA" w14:textId="3BDA5333" w:rsidR="00D703F8" w:rsidRPr="00E27862" w:rsidRDefault="00D703F8" w:rsidP="61C2FAD1">
            <w:pPr>
              <w:pStyle w:val="TableRowCentered"/>
              <w:jc w:val="left"/>
              <w:rPr>
                <w:color w:val="auto"/>
              </w:rPr>
            </w:pPr>
          </w:p>
          <w:p w14:paraId="634C3DA8" w14:textId="68D58F4D" w:rsidR="00D703F8" w:rsidRPr="00E27862" w:rsidRDefault="4C36F820" w:rsidP="61C2FAD1">
            <w:pPr>
              <w:pStyle w:val="TableRowCentered"/>
              <w:jc w:val="left"/>
              <w:rPr>
                <w:color w:val="0D0D0D" w:themeColor="text1" w:themeTint="F2"/>
                <w:szCs w:val="24"/>
              </w:rPr>
            </w:pPr>
            <w:r w:rsidRPr="61C2FAD1">
              <w:rPr>
                <w:color w:val="auto"/>
                <w:szCs w:val="24"/>
              </w:rPr>
              <w:t>£</w:t>
            </w:r>
            <w:r w:rsidR="00582578">
              <w:rPr>
                <w:color w:val="auto"/>
                <w:szCs w:val="24"/>
              </w:rPr>
              <w:t>3</w:t>
            </w:r>
            <w:r w:rsidRPr="61C2FAD1">
              <w:rPr>
                <w:color w:val="auto"/>
                <w:szCs w:val="24"/>
              </w:rPr>
              <w:t>000</w:t>
            </w:r>
            <w:r w:rsidR="0059105A">
              <w:rPr>
                <w:color w:val="auto"/>
                <w:szCs w:val="24"/>
              </w:rPr>
              <w:t xml:space="preserve"> (release costs and DHT time to deliver training)</w:t>
            </w:r>
          </w:p>
        </w:tc>
      </w:tr>
    </w:tbl>
    <w:p w14:paraId="5C9403F1" w14:textId="77777777" w:rsidR="00D703F8" w:rsidRDefault="00D703F8" w:rsidP="00D703F8">
      <w:pPr>
        <w:keepNext/>
        <w:spacing w:after="60"/>
        <w:outlineLvl w:val="1"/>
      </w:pPr>
    </w:p>
    <w:p w14:paraId="3700FAFF" w14:textId="77777777" w:rsidR="00B972EB" w:rsidRDefault="00B972EB" w:rsidP="00BC0F34">
      <w:pPr>
        <w:spacing w:before="240"/>
        <w:rPr>
          <w:b/>
          <w:bCs/>
          <w:color w:val="104F75"/>
          <w:sz w:val="28"/>
          <w:szCs w:val="28"/>
        </w:rPr>
      </w:pPr>
    </w:p>
    <w:p w14:paraId="5D0D7F80" w14:textId="1C07A45F" w:rsidR="00CF5C74" w:rsidRPr="00BC0F34" w:rsidRDefault="00D703F8" w:rsidP="00BC0F34">
      <w:pPr>
        <w:spacing w:before="240"/>
        <w:rPr>
          <w:b/>
          <w:bCs/>
          <w:color w:val="104F75"/>
          <w:sz w:val="28"/>
          <w:szCs w:val="28"/>
        </w:rPr>
      </w:pPr>
      <w:r>
        <w:rPr>
          <w:b/>
          <w:bCs/>
          <w:color w:val="104F75"/>
          <w:sz w:val="28"/>
          <w:szCs w:val="28"/>
        </w:rPr>
        <w:lastRenderedPageBreak/>
        <w:t xml:space="preserve">Targeted academic support (for example, tutoring, one-to-one support structured interventions) </w:t>
      </w:r>
    </w:p>
    <w:p w14:paraId="75C31B07" w14:textId="0A48AF86" w:rsidR="00D703F8" w:rsidRDefault="00D703F8" w:rsidP="61C2FAD1">
      <w:pPr>
        <w:rPr>
          <w:b/>
          <w:bCs/>
          <w:color w:val="auto"/>
        </w:rPr>
      </w:pPr>
      <w:r w:rsidRPr="00BC0F34">
        <w:rPr>
          <w:b/>
        </w:rPr>
        <w:t>Budgeted cost</w:t>
      </w:r>
      <w:r>
        <w:t xml:space="preserve">: </w:t>
      </w:r>
      <w:r w:rsidR="0059105A" w:rsidRPr="0059105A">
        <w:rPr>
          <w:b/>
        </w:rPr>
        <w:t>£80,076</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D703F8" w14:paraId="0A78BA43" w14:textId="77777777" w:rsidTr="61C2FAD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8F0D454" w14:textId="77777777" w:rsidR="00D703F8" w:rsidRDefault="00D703F8" w:rsidP="00B24BA3">
            <w:pPr>
              <w:pStyle w:val="TableHeader"/>
              <w:jc w:val="left"/>
            </w:pPr>
            <w:r>
              <w:t>Activity</w:t>
            </w:r>
          </w:p>
        </w:tc>
        <w:tc>
          <w:tcPr>
            <w:tcW w:w="4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0E6CDD" w14:textId="77777777" w:rsidR="00D703F8" w:rsidRDefault="00D703F8" w:rsidP="00B24BA3">
            <w:pPr>
              <w:pStyle w:val="TableHeader"/>
              <w:jc w:val="left"/>
            </w:pPr>
            <w:r>
              <w:t>Evidence that supports this approach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67325AB" w14:textId="77777777" w:rsidR="00D703F8" w:rsidRDefault="00D703F8" w:rsidP="00B24BA3">
            <w:pPr>
              <w:pStyle w:val="TableHeader"/>
              <w:jc w:val="left"/>
            </w:pPr>
            <w:r>
              <w:t>Challenge number(s) addressed</w:t>
            </w:r>
          </w:p>
        </w:tc>
      </w:tr>
      <w:tr w:rsidR="00D703F8" w14:paraId="1C4E0C88" w14:textId="77777777" w:rsidTr="61C2FAD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E451A" w14:textId="77777777" w:rsidR="00D703F8" w:rsidRDefault="00D703F8" w:rsidP="00B24BA3">
            <w:pPr>
              <w:pStyle w:val="TableRow"/>
              <w:spacing w:after="120"/>
              <w:ind w:left="0"/>
              <w:rPr>
                <w:rFonts w:cs="Arial"/>
                <w:color w:val="auto"/>
                <w:lang w:val="en-US"/>
              </w:rPr>
            </w:pPr>
            <w:r w:rsidRPr="007D4E98">
              <w:rPr>
                <w:rFonts w:cs="Arial"/>
                <w:color w:val="auto"/>
                <w:lang w:val="en-US"/>
              </w:rPr>
              <w:t xml:space="preserve">SALT Specialist </w:t>
            </w:r>
            <w:r>
              <w:rPr>
                <w:rFonts w:cs="Arial"/>
                <w:color w:val="auto"/>
                <w:lang w:val="en-US"/>
              </w:rPr>
              <w:t>to provide ½ day support each week.</w:t>
            </w:r>
          </w:p>
          <w:p w14:paraId="70FDC917" w14:textId="77777777" w:rsidR="00D703F8" w:rsidRPr="007D4E98" w:rsidRDefault="00D703F8" w:rsidP="00B24BA3">
            <w:pPr>
              <w:pStyle w:val="TableRow"/>
              <w:spacing w:after="120"/>
              <w:rPr>
                <w:rFonts w:cs="Arial"/>
                <w:color w:val="auto"/>
                <w:lang w:val="en-US"/>
              </w:rPr>
            </w:pPr>
            <w:r>
              <w:rPr>
                <w:rFonts w:cs="Arial"/>
                <w:color w:val="auto"/>
                <w:lang w:val="en-US"/>
              </w:rPr>
              <w:t>Trained teaching assistant to provide wider SALT interventions across the school every afternoon</w:t>
            </w:r>
          </w:p>
          <w:p w14:paraId="53185E9B" w14:textId="77777777" w:rsidR="00D703F8" w:rsidRPr="0045371B" w:rsidRDefault="00D703F8" w:rsidP="00B24BA3">
            <w:pPr>
              <w:pStyle w:val="TableRow"/>
              <w:spacing w:after="120"/>
              <w:rPr>
                <w:rFonts w:cs="Arial"/>
                <w:b/>
                <w:bCs/>
                <w:color w:val="auto"/>
                <w:highlight w:val="yellow"/>
                <w:lang w:val="en-US"/>
              </w:rPr>
            </w:pPr>
          </w:p>
        </w:tc>
        <w:tc>
          <w:tcPr>
            <w:tcW w:w="4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245D6" w14:textId="77777777" w:rsidR="00D703F8" w:rsidRPr="007D4E98" w:rsidRDefault="00D703F8" w:rsidP="00B24BA3">
            <w:pPr>
              <w:pStyle w:val="TableRowCentered"/>
              <w:jc w:val="left"/>
              <w:rPr>
                <w:rFonts w:cs="Arial"/>
                <w:color w:val="auto"/>
                <w:szCs w:val="24"/>
              </w:rPr>
            </w:pPr>
            <w:r w:rsidRPr="007D4E98">
              <w:rPr>
                <w:rFonts w:cs="Arial"/>
                <w:color w:val="auto"/>
                <w:szCs w:val="24"/>
              </w:rPr>
              <w:t>Oral language interventions can have a positive impact on pupils’ language skills. Approaches that focus on speaking, listening and a combination of the two show positive impacts on attainment:</w:t>
            </w:r>
          </w:p>
          <w:p w14:paraId="316E014E" w14:textId="77777777" w:rsidR="00D703F8" w:rsidRPr="007D4E98" w:rsidRDefault="00D703F8" w:rsidP="00B24BA3">
            <w:pPr>
              <w:pStyle w:val="TableRowCentered"/>
              <w:spacing w:after="120"/>
              <w:jc w:val="left"/>
              <w:rPr>
                <w:color w:val="0070C0"/>
                <w:szCs w:val="24"/>
              </w:rPr>
            </w:pPr>
            <w:hyperlink r:id="rId17" w:history="1">
              <w:r w:rsidRPr="007D4E98">
                <w:rPr>
                  <w:color w:val="0070C0"/>
                  <w:szCs w:val="24"/>
                  <w:u w:val="single"/>
                </w:rPr>
                <w:t>Oral language interventions | EEF (educationendowmentfoundation.org.uk)</w:t>
              </w:r>
            </w:hyperlink>
          </w:p>
          <w:p w14:paraId="6434C9A7" w14:textId="77777777" w:rsidR="00D703F8" w:rsidRPr="007D4E98" w:rsidRDefault="00D703F8" w:rsidP="00B24BA3">
            <w:pPr>
              <w:pStyle w:val="TableRowCentered"/>
              <w:spacing w:after="120"/>
              <w:jc w:val="left"/>
              <w:rPr>
                <w:color w:val="auto"/>
                <w:szCs w:val="24"/>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BA176" w14:textId="430B30B9" w:rsidR="00D703F8" w:rsidRDefault="64BA85DD" w:rsidP="61C2FAD1">
            <w:pPr>
              <w:pStyle w:val="TableRowCentered"/>
              <w:ind w:left="0"/>
              <w:jc w:val="left"/>
              <w:rPr>
                <w:color w:val="auto"/>
              </w:rPr>
            </w:pPr>
            <w:r w:rsidRPr="61C2FAD1">
              <w:rPr>
                <w:color w:val="auto"/>
              </w:rPr>
              <w:t>£</w:t>
            </w:r>
            <w:r w:rsidR="0059105A">
              <w:rPr>
                <w:color w:val="auto"/>
              </w:rPr>
              <w:t>10,076</w:t>
            </w:r>
          </w:p>
          <w:p w14:paraId="1F5909B8" w14:textId="35D68986" w:rsidR="0059105A" w:rsidRDefault="0059105A" w:rsidP="61C2FAD1">
            <w:pPr>
              <w:pStyle w:val="TableRowCentered"/>
              <w:ind w:left="0"/>
              <w:jc w:val="left"/>
              <w:rPr>
                <w:color w:val="auto"/>
              </w:rPr>
            </w:pPr>
          </w:p>
          <w:p w14:paraId="02669D92" w14:textId="77777777" w:rsidR="0059105A" w:rsidRPr="00295351" w:rsidRDefault="0059105A" w:rsidP="61C2FAD1">
            <w:pPr>
              <w:pStyle w:val="TableRowCentered"/>
              <w:ind w:left="0"/>
              <w:jc w:val="left"/>
              <w:rPr>
                <w:color w:val="auto"/>
              </w:rPr>
            </w:pPr>
          </w:p>
          <w:p w14:paraId="391CAE0D" w14:textId="2F93E13B" w:rsidR="00D703F8" w:rsidRPr="00295351" w:rsidRDefault="64BA85DD" w:rsidP="61C2FAD1">
            <w:pPr>
              <w:pStyle w:val="TableRowCentered"/>
              <w:ind w:left="0"/>
              <w:jc w:val="left"/>
              <w:rPr>
                <w:color w:val="0D0D0D" w:themeColor="text1" w:themeTint="F2"/>
                <w:szCs w:val="24"/>
              </w:rPr>
            </w:pPr>
            <w:r w:rsidRPr="61C2FAD1">
              <w:rPr>
                <w:color w:val="auto"/>
                <w:szCs w:val="24"/>
              </w:rPr>
              <w:t>£</w:t>
            </w:r>
            <w:r w:rsidR="0059105A">
              <w:rPr>
                <w:color w:val="auto"/>
                <w:szCs w:val="24"/>
              </w:rPr>
              <w:t>15,000</w:t>
            </w:r>
          </w:p>
        </w:tc>
      </w:tr>
      <w:tr w:rsidR="00D703F8" w14:paraId="4E6CC2DA" w14:textId="77777777" w:rsidTr="61C2FAD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9F8F" w14:textId="04035DD9" w:rsidR="00D703F8" w:rsidRPr="0045371B" w:rsidRDefault="00D703F8" w:rsidP="00B24BA3">
            <w:pPr>
              <w:pStyle w:val="TableRow"/>
              <w:spacing w:after="120"/>
              <w:rPr>
                <w:rFonts w:cs="Arial"/>
                <w:color w:val="auto"/>
                <w:lang w:val="en-US"/>
              </w:rPr>
            </w:pPr>
            <w:r w:rsidRPr="2F6B47BC">
              <w:rPr>
                <w:rFonts w:cs="Arial"/>
                <w:color w:val="auto"/>
                <w:lang w:val="en-US"/>
              </w:rPr>
              <w:t>Teachers</w:t>
            </w:r>
            <w:r w:rsidR="00BC0F34">
              <w:rPr>
                <w:rFonts w:cs="Arial"/>
                <w:color w:val="auto"/>
                <w:lang w:val="en-US"/>
              </w:rPr>
              <w:t xml:space="preserve"> (covered by Teaching assistants)</w:t>
            </w:r>
            <w:r w:rsidRPr="2F6B47BC">
              <w:rPr>
                <w:rFonts w:cs="Arial"/>
                <w:color w:val="auto"/>
                <w:lang w:val="en-US"/>
              </w:rPr>
              <w:t xml:space="preserve"> </w:t>
            </w:r>
            <w:r>
              <w:rPr>
                <w:rFonts w:cs="Arial"/>
                <w:color w:val="auto"/>
                <w:lang w:val="en-US"/>
              </w:rPr>
              <w:t xml:space="preserve">and teaching assistants to deliver </w:t>
            </w:r>
            <w:r w:rsidR="001D6CF1">
              <w:rPr>
                <w:rFonts w:cs="Arial"/>
                <w:color w:val="auto"/>
                <w:lang w:val="en-US"/>
              </w:rPr>
              <w:t>structured interventions in Maths (Mastering Number) and writing (</w:t>
            </w:r>
            <w:proofErr w:type="spellStart"/>
            <w:r w:rsidR="001D6CF1">
              <w:rPr>
                <w:rFonts w:cs="Arial"/>
                <w:color w:val="auto"/>
                <w:lang w:val="en-US"/>
              </w:rPr>
              <w:t>Colourful</w:t>
            </w:r>
            <w:proofErr w:type="spellEnd"/>
            <w:r w:rsidR="001D6CF1">
              <w:rPr>
                <w:rFonts w:cs="Arial"/>
                <w:color w:val="auto"/>
                <w:lang w:val="en-US"/>
              </w:rPr>
              <w:t xml:space="preserve"> Semantics)</w:t>
            </w:r>
            <w:r w:rsidR="0059105A">
              <w:rPr>
                <w:rFonts w:cs="Arial"/>
                <w:color w:val="auto"/>
                <w:lang w:val="en-US"/>
              </w:rPr>
              <w:t>, conferencing etc</w:t>
            </w:r>
            <w:r w:rsidRPr="00E27862">
              <w:rPr>
                <w:rFonts w:cs="Arial"/>
                <w:iCs/>
                <w:color w:val="auto"/>
                <w:lang w:val="en-US"/>
              </w:rPr>
              <w:t>. A significant proportion of the pupils who receive tutoring will be disadvantaged, including those who are high attainers.</w:t>
            </w:r>
          </w:p>
        </w:tc>
        <w:tc>
          <w:tcPr>
            <w:tcW w:w="4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F2CF6" w14:textId="77777777" w:rsidR="00D703F8" w:rsidRPr="00E27862" w:rsidRDefault="00D703F8" w:rsidP="00B24BA3">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792C89B1" w14:textId="77777777" w:rsidR="00D703F8" w:rsidRPr="00094874" w:rsidRDefault="00D703F8" w:rsidP="00B24BA3">
            <w:pPr>
              <w:suppressAutoHyphens w:val="0"/>
              <w:autoSpaceDN/>
              <w:spacing w:before="60" w:after="60" w:line="240" w:lineRule="auto"/>
              <w:ind w:left="57" w:right="57"/>
              <w:rPr>
                <w:color w:val="0070C0"/>
              </w:rPr>
            </w:pPr>
            <w:hyperlink r:id="rId18" w:history="1">
              <w:r w:rsidRPr="00094874">
                <w:rPr>
                  <w:color w:val="0070C0"/>
                  <w:u w:val="single"/>
                </w:rPr>
                <w:t>One to one tuition | EEF (educationendowmentfoundation.org.uk)</w:t>
              </w:r>
            </w:hyperlink>
          </w:p>
          <w:p w14:paraId="3CAB5193" w14:textId="77777777" w:rsidR="00D703F8" w:rsidRPr="00E27862" w:rsidRDefault="00D703F8" w:rsidP="00B24BA3">
            <w:pPr>
              <w:suppressAutoHyphens w:val="0"/>
              <w:autoSpaceDN/>
              <w:spacing w:before="60" w:after="60" w:line="240" w:lineRule="auto"/>
              <w:ind w:left="57" w:right="57"/>
              <w:rPr>
                <w:color w:val="auto"/>
              </w:rPr>
            </w:pPr>
            <w:r w:rsidRPr="00E27862">
              <w:rPr>
                <w:color w:val="auto"/>
              </w:rPr>
              <w:t>And in small groups:</w:t>
            </w:r>
          </w:p>
          <w:p w14:paraId="13653B10" w14:textId="77777777" w:rsidR="00D703F8" w:rsidRPr="00E27862" w:rsidRDefault="00D703F8" w:rsidP="00B24BA3">
            <w:pPr>
              <w:suppressAutoHyphens w:val="0"/>
              <w:autoSpaceDN/>
              <w:spacing w:before="60" w:after="120" w:line="240" w:lineRule="auto"/>
              <w:ind w:left="57" w:right="57"/>
              <w:rPr>
                <w:color w:val="auto"/>
                <w:u w:val="single"/>
              </w:rPr>
            </w:pPr>
            <w:hyperlink r:id="rId19" w:history="1">
              <w:r w:rsidRPr="009A7AA4">
                <w:rPr>
                  <w:color w:val="0070C0"/>
                  <w:u w:val="single"/>
                </w:rPr>
                <w:t>Small group tuition | Toolkit Strand | Education Endowment Foundation | 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934E" w14:textId="2D6317C8" w:rsidR="00D703F8" w:rsidRDefault="00D703F8" w:rsidP="00B24BA3">
            <w:pPr>
              <w:pStyle w:val="TableRowCentered"/>
              <w:jc w:val="left"/>
              <w:rPr>
                <w:color w:val="auto"/>
                <w:szCs w:val="22"/>
              </w:rPr>
            </w:pPr>
          </w:p>
          <w:p w14:paraId="049D45BD" w14:textId="1A03C650" w:rsidR="63EE8D7C" w:rsidRDefault="63EE8D7C" w:rsidP="61C2FAD1">
            <w:pPr>
              <w:pStyle w:val="TableRowCentered"/>
              <w:spacing w:line="259" w:lineRule="auto"/>
              <w:ind w:left="0"/>
              <w:jc w:val="left"/>
              <w:rPr>
                <w:color w:val="0D0D0D" w:themeColor="text1" w:themeTint="F2"/>
                <w:szCs w:val="24"/>
              </w:rPr>
            </w:pPr>
            <w:r w:rsidRPr="61C2FAD1">
              <w:rPr>
                <w:color w:val="auto"/>
              </w:rPr>
              <w:t xml:space="preserve">£ </w:t>
            </w:r>
            <w:r w:rsidR="0059105A">
              <w:rPr>
                <w:color w:val="auto"/>
              </w:rPr>
              <w:t>50,000</w:t>
            </w:r>
          </w:p>
          <w:p w14:paraId="79F21F59" w14:textId="04732C4A" w:rsidR="63EE8D7C" w:rsidRDefault="63EE8D7C" w:rsidP="61C2FAD1">
            <w:pPr>
              <w:pStyle w:val="TableRowCentered"/>
              <w:spacing w:line="259" w:lineRule="auto"/>
              <w:ind w:left="0"/>
              <w:jc w:val="left"/>
              <w:rPr>
                <w:color w:val="auto"/>
                <w:szCs w:val="24"/>
              </w:rPr>
            </w:pPr>
          </w:p>
          <w:p w14:paraId="67D7C7BD" w14:textId="1DDBA3C9" w:rsidR="63EE8D7C" w:rsidRDefault="63EE8D7C" w:rsidP="61C2FAD1">
            <w:pPr>
              <w:pStyle w:val="TableRowCentered"/>
              <w:spacing w:line="259" w:lineRule="auto"/>
              <w:ind w:left="0"/>
              <w:jc w:val="left"/>
              <w:rPr>
                <w:color w:val="0D0D0D" w:themeColor="text1" w:themeTint="F2"/>
                <w:szCs w:val="24"/>
              </w:rPr>
            </w:pPr>
          </w:p>
          <w:p w14:paraId="355F2F75" w14:textId="77777777" w:rsidR="00C15BF4" w:rsidRDefault="00C15BF4" w:rsidP="003D7ACE">
            <w:pPr>
              <w:pStyle w:val="TableRowCentered"/>
              <w:ind w:left="0"/>
              <w:jc w:val="left"/>
              <w:rPr>
                <w:color w:val="auto"/>
                <w:szCs w:val="22"/>
              </w:rPr>
            </w:pPr>
          </w:p>
          <w:p w14:paraId="4F899188" w14:textId="77777777" w:rsidR="00C15BF4" w:rsidRDefault="00C15BF4" w:rsidP="003D7ACE">
            <w:pPr>
              <w:pStyle w:val="TableRowCentered"/>
              <w:ind w:left="0"/>
              <w:jc w:val="left"/>
              <w:rPr>
                <w:color w:val="auto"/>
                <w:szCs w:val="22"/>
              </w:rPr>
            </w:pPr>
          </w:p>
          <w:p w14:paraId="7FB85DA9" w14:textId="379DFEDE" w:rsidR="00C15BF4" w:rsidRDefault="00C15BF4" w:rsidP="003D7ACE">
            <w:pPr>
              <w:pStyle w:val="TableRowCentered"/>
              <w:ind w:left="0"/>
              <w:jc w:val="left"/>
              <w:rPr>
                <w:color w:val="auto"/>
                <w:szCs w:val="22"/>
              </w:rPr>
            </w:pPr>
          </w:p>
          <w:p w14:paraId="5AB80164" w14:textId="7F5FE8ED" w:rsidR="61C2FAD1" w:rsidRDefault="61C2FAD1" w:rsidP="61C2FAD1">
            <w:pPr>
              <w:pStyle w:val="TableRowCentered"/>
              <w:ind w:left="0"/>
              <w:jc w:val="left"/>
              <w:rPr>
                <w:color w:val="0D0D0D" w:themeColor="text1" w:themeTint="F2"/>
                <w:szCs w:val="24"/>
              </w:rPr>
            </w:pPr>
          </w:p>
          <w:p w14:paraId="1F586EF1" w14:textId="324B7543" w:rsidR="734652D8" w:rsidRDefault="734652D8" w:rsidP="61C2FAD1">
            <w:pPr>
              <w:pStyle w:val="TableRowCentered"/>
              <w:spacing w:line="259" w:lineRule="auto"/>
              <w:ind w:left="0"/>
              <w:jc w:val="left"/>
              <w:rPr>
                <w:color w:val="0D0D0D" w:themeColor="text1" w:themeTint="F2"/>
                <w:szCs w:val="24"/>
              </w:rPr>
            </w:pPr>
          </w:p>
          <w:p w14:paraId="7511FEE6" w14:textId="2E3699D5" w:rsidR="00C15BF4" w:rsidRPr="00295351" w:rsidRDefault="00C15BF4" w:rsidP="003D7ACE">
            <w:pPr>
              <w:pStyle w:val="TableRowCentered"/>
              <w:ind w:left="0"/>
              <w:jc w:val="left"/>
              <w:rPr>
                <w:color w:val="auto"/>
                <w:szCs w:val="22"/>
              </w:rPr>
            </w:pPr>
          </w:p>
        </w:tc>
      </w:tr>
      <w:tr w:rsidR="004F2A38" w14:paraId="10085934" w14:textId="77777777" w:rsidTr="004F2A38">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3C4E1" w14:textId="77777777" w:rsidR="004F2A38" w:rsidRPr="004F2A38" w:rsidRDefault="004F2A38" w:rsidP="004F2A38">
            <w:pPr>
              <w:pStyle w:val="TableRow"/>
              <w:spacing w:after="120"/>
              <w:rPr>
                <w:rFonts w:cs="Arial"/>
                <w:color w:val="auto"/>
                <w:lang w:val="en-US"/>
              </w:rPr>
            </w:pPr>
            <w:r w:rsidRPr="004F2A38">
              <w:rPr>
                <w:rFonts w:cs="Arial"/>
                <w:color w:val="auto"/>
                <w:lang w:val="en-US"/>
              </w:rPr>
              <w:t>To purchase online subscriptions for every child:</w:t>
            </w:r>
          </w:p>
          <w:p w14:paraId="3BF4A908" w14:textId="77777777" w:rsidR="004F2A38" w:rsidRPr="004F2A38" w:rsidRDefault="004F2A38" w:rsidP="004F2A38">
            <w:pPr>
              <w:pStyle w:val="TableRow"/>
              <w:spacing w:after="120"/>
              <w:rPr>
                <w:rFonts w:cs="Arial"/>
                <w:color w:val="auto"/>
                <w:lang w:val="en-US"/>
              </w:rPr>
            </w:pPr>
            <w:r w:rsidRPr="004F2A38">
              <w:rPr>
                <w:rFonts w:cs="Arial"/>
                <w:color w:val="auto"/>
                <w:lang w:val="en-US"/>
              </w:rPr>
              <w:t>Bug Club</w:t>
            </w:r>
          </w:p>
          <w:p w14:paraId="340561B6" w14:textId="77777777" w:rsidR="004F2A38" w:rsidRPr="004F2A38" w:rsidRDefault="004F2A38" w:rsidP="004F2A38">
            <w:pPr>
              <w:pStyle w:val="TableRow"/>
              <w:spacing w:after="120"/>
              <w:rPr>
                <w:rFonts w:cs="Arial"/>
                <w:color w:val="auto"/>
                <w:lang w:val="en-US"/>
              </w:rPr>
            </w:pPr>
            <w:r w:rsidRPr="004F2A38">
              <w:rPr>
                <w:rFonts w:cs="Arial"/>
                <w:color w:val="auto"/>
                <w:lang w:val="en-US"/>
              </w:rPr>
              <w:t>Mathletics</w:t>
            </w:r>
          </w:p>
          <w:p w14:paraId="4D8259BC" w14:textId="77777777" w:rsidR="004F2A38" w:rsidRPr="004F2A38" w:rsidRDefault="004F2A38" w:rsidP="004F2A38">
            <w:pPr>
              <w:pStyle w:val="TableRow"/>
              <w:spacing w:after="120"/>
              <w:rPr>
                <w:rFonts w:cs="Arial"/>
                <w:color w:val="auto"/>
                <w:lang w:val="en-US"/>
              </w:rPr>
            </w:pPr>
            <w:r w:rsidRPr="004F2A38">
              <w:rPr>
                <w:rFonts w:cs="Arial"/>
                <w:color w:val="auto"/>
                <w:lang w:val="en-US"/>
              </w:rPr>
              <w:t>TT Rockstars</w:t>
            </w:r>
          </w:p>
        </w:tc>
        <w:tc>
          <w:tcPr>
            <w:tcW w:w="4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95A3D" w14:textId="77777777" w:rsidR="004F2A38" w:rsidRDefault="004F2A38" w:rsidP="004F2A38">
            <w:pPr>
              <w:suppressAutoHyphens w:val="0"/>
              <w:autoSpaceDN/>
              <w:spacing w:after="60"/>
              <w:ind w:left="57"/>
              <w:rPr>
                <w:color w:val="auto"/>
              </w:rPr>
            </w:pPr>
          </w:p>
          <w:p w14:paraId="0DC7A0F1" w14:textId="77777777" w:rsidR="004F2A38" w:rsidRPr="004F2A38" w:rsidRDefault="004F2A38" w:rsidP="004F2A38">
            <w:pPr>
              <w:suppressAutoHyphens w:val="0"/>
              <w:autoSpaceDN/>
              <w:spacing w:after="60"/>
              <w:ind w:left="57"/>
              <w:rPr>
                <w:color w:val="auto"/>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5FBAB" w14:textId="77777777" w:rsidR="004F2A38" w:rsidRPr="004F2A38" w:rsidRDefault="004F2A38" w:rsidP="00B24BA3">
            <w:pPr>
              <w:pStyle w:val="TableRowCentered"/>
              <w:jc w:val="left"/>
              <w:rPr>
                <w:color w:val="auto"/>
                <w:szCs w:val="22"/>
              </w:rPr>
            </w:pPr>
          </w:p>
          <w:p w14:paraId="7811B51A" w14:textId="5FA17564" w:rsidR="004F2A38" w:rsidRPr="0059105A" w:rsidRDefault="006C31F2" w:rsidP="0059105A">
            <w:r>
              <w:t>£5000</w:t>
            </w:r>
          </w:p>
        </w:tc>
      </w:tr>
    </w:tbl>
    <w:p w14:paraId="3ED967B9" w14:textId="67FB017E" w:rsidR="00B972EB" w:rsidRDefault="00B972EB" w:rsidP="00D703F8">
      <w:pPr>
        <w:spacing w:before="480"/>
        <w:rPr>
          <w:b/>
          <w:color w:val="104F75"/>
          <w:sz w:val="28"/>
          <w:szCs w:val="28"/>
        </w:rPr>
      </w:pPr>
    </w:p>
    <w:p w14:paraId="23752DD2" w14:textId="616B8C1B" w:rsidR="00C82D4C" w:rsidRDefault="00C82D4C" w:rsidP="00D703F8">
      <w:pPr>
        <w:spacing w:before="480"/>
        <w:rPr>
          <w:b/>
          <w:color w:val="104F75"/>
          <w:sz w:val="28"/>
          <w:szCs w:val="28"/>
        </w:rPr>
      </w:pPr>
    </w:p>
    <w:p w14:paraId="1DC2A760" w14:textId="77777777" w:rsidR="00C82D4C" w:rsidRDefault="00C82D4C" w:rsidP="00D703F8">
      <w:pPr>
        <w:spacing w:before="480"/>
        <w:rPr>
          <w:b/>
          <w:color w:val="104F75"/>
          <w:sz w:val="28"/>
          <w:szCs w:val="28"/>
        </w:rPr>
      </w:pPr>
    </w:p>
    <w:p w14:paraId="76B9CD5F" w14:textId="03DFE178" w:rsidR="00D703F8" w:rsidRDefault="00D703F8" w:rsidP="00D703F8">
      <w:pPr>
        <w:spacing w:before="480"/>
        <w:rPr>
          <w:b/>
          <w:color w:val="104F75"/>
          <w:sz w:val="28"/>
          <w:szCs w:val="28"/>
        </w:rPr>
      </w:pPr>
      <w:r>
        <w:rPr>
          <w:b/>
          <w:color w:val="104F75"/>
          <w:sz w:val="28"/>
          <w:szCs w:val="28"/>
        </w:rPr>
        <w:lastRenderedPageBreak/>
        <w:t>Wider strategies (for example, related to attendance, behaviour, wellbeing)</w:t>
      </w:r>
    </w:p>
    <w:p w14:paraId="5108B69D" w14:textId="34BBD1CD" w:rsidR="00D703F8" w:rsidRPr="00BC0F34" w:rsidRDefault="00D703F8" w:rsidP="61C2FAD1">
      <w:pPr>
        <w:spacing w:before="240"/>
        <w:rPr>
          <w:b/>
          <w:bCs/>
          <w:color w:val="auto"/>
        </w:rPr>
      </w:pPr>
      <w:r w:rsidRPr="00BC0F34">
        <w:rPr>
          <w:b/>
        </w:rPr>
        <w:t xml:space="preserve">Budgeted cost: </w:t>
      </w:r>
      <w:r w:rsidR="008726E2">
        <w:rPr>
          <w:b/>
        </w:rPr>
        <w:t>£125,623</w:t>
      </w:r>
    </w:p>
    <w:tbl>
      <w:tblPr>
        <w:tblW w:w="9486" w:type="dxa"/>
        <w:tblLayout w:type="fixed"/>
        <w:tblCellMar>
          <w:left w:w="10" w:type="dxa"/>
          <w:right w:w="10" w:type="dxa"/>
        </w:tblCellMar>
        <w:tblLook w:val="04A0" w:firstRow="1" w:lastRow="0" w:firstColumn="1" w:lastColumn="0" w:noHBand="0" w:noVBand="1"/>
      </w:tblPr>
      <w:tblGrid>
        <w:gridCol w:w="4248"/>
        <w:gridCol w:w="3540"/>
        <w:gridCol w:w="1698"/>
      </w:tblGrid>
      <w:tr w:rsidR="00D703F8" w14:paraId="56C3B2BB" w14:textId="77777777" w:rsidTr="61C2FAD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6527DAD" w14:textId="77777777" w:rsidR="00D703F8" w:rsidRDefault="00D703F8" w:rsidP="00B24BA3">
            <w:pPr>
              <w:pStyle w:val="TableHeader"/>
              <w:jc w:val="left"/>
            </w:pPr>
            <w:r>
              <w:t>Activity</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5AC2B1E" w14:textId="77777777" w:rsidR="00D703F8" w:rsidRDefault="00D703F8" w:rsidP="00B24BA3">
            <w:pPr>
              <w:pStyle w:val="TableHeader"/>
              <w:jc w:val="left"/>
            </w:pPr>
            <w:r>
              <w:t>Evidence that supports this approach</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8FEEC80" w14:textId="77777777" w:rsidR="00D703F8" w:rsidRDefault="00D703F8" w:rsidP="00B24BA3">
            <w:pPr>
              <w:pStyle w:val="TableHeader"/>
              <w:jc w:val="left"/>
            </w:pPr>
            <w:r>
              <w:t>Challenge number(s) addressed</w:t>
            </w:r>
          </w:p>
        </w:tc>
      </w:tr>
      <w:tr w:rsidR="00D703F8" w:rsidRPr="00380251" w14:paraId="7BE4EA55" w14:textId="77777777" w:rsidTr="61C2FAD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8DAC" w14:textId="5C9200AE" w:rsidR="00D703F8" w:rsidRPr="00E27862" w:rsidRDefault="00D703F8" w:rsidP="00B24BA3">
            <w:pPr>
              <w:pStyle w:val="TableRow"/>
              <w:spacing w:after="120"/>
              <w:ind w:left="0"/>
              <w:rPr>
                <w:iCs/>
                <w:color w:val="auto"/>
                <w:szCs w:val="28"/>
                <w:lang w:val="en-US"/>
              </w:rPr>
            </w:pPr>
            <w:r>
              <w:rPr>
                <w:iCs/>
                <w:color w:val="auto"/>
                <w:szCs w:val="28"/>
                <w:lang w:val="en-US"/>
              </w:rPr>
              <w:t>Designated administrator</w:t>
            </w:r>
            <w:r w:rsidR="00680ADF">
              <w:rPr>
                <w:iCs/>
                <w:color w:val="auto"/>
                <w:szCs w:val="28"/>
                <w:lang w:val="en-US"/>
              </w:rPr>
              <w:t>/DSL</w:t>
            </w:r>
            <w:r>
              <w:rPr>
                <w:iCs/>
                <w:color w:val="auto"/>
                <w:szCs w:val="28"/>
                <w:lang w:val="en-US"/>
              </w:rPr>
              <w:t xml:space="preserve"> to manage and monitor attendance, working with designated senior leader and senior learning mentor to deliver Early Help </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3BBE0" w14:textId="77777777" w:rsidR="00D703F8" w:rsidRPr="00E27862" w:rsidRDefault="00D703F8" w:rsidP="00B24BA3">
            <w:pPr>
              <w:pStyle w:val="TableRowCentered"/>
              <w:jc w:val="left"/>
              <w:rPr>
                <w:color w:val="auto"/>
              </w:rPr>
            </w:pPr>
            <w:r w:rsidRPr="00E27862">
              <w:rPr>
                <w:color w:val="auto"/>
              </w:rPr>
              <w:t xml:space="preserve">The DfE guidance has been informed by engagement with schools that have significantly reduced levels of absence and persistent absence. </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B69A6" w14:textId="229CAB29" w:rsidR="00D703F8" w:rsidRDefault="00D703F8" w:rsidP="00BC0F34">
            <w:pPr>
              <w:pStyle w:val="TableRowCentered"/>
              <w:ind w:left="0"/>
              <w:jc w:val="left"/>
              <w:rPr>
                <w:color w:val="auto"/>
                <w:sz w:val="22"/>
              </w:rPr>
            </w:pPr>
          </w:p>
          <w:p w14:paraId="02E0E717" w14:textId="77777777" w:rsidR="00D703F8" w:rsidRDefault="00D703F8" w:rsidP="00B24BA3">
            <w:pPr>
              <w:pStyle w:val="TableRowCentered"/>
              <w:jc w:val="left"/>
              <w:rPr>
                <w:color w:val="auto"/>
                <w:sz w:val="22"/>
              </w:rPr>
            </w:pPr>
          </w:p>
          <w:p w14:paraId="090E1269" w14:textId="47BD3BBB" w:rsidR="00D703F8" w:rsidRPr="00E27862" w:rsidRDefault="091D8CC0" w:rsidP="61C2FAD1">
            <w:pPr>
              <w:pStyle w:val="TableRowCentered"/>
              <w:jc w:val="left"/>
              <w:rPr>
                <w:color w:val="auto"/>
                <w:sz w:val="22"/>
                <w:szCs w:val="22"/>
              </w:rPr>
            </w:pPr>
            <w:r w:rsidRPr="61C2FAD1">
              <w:rPr>
                <w:color w:val="auto"/>
                <w:sz w:val="22"/>
                <w:szCs w:val="22"/>
              </w:rPr>
              <w:t>£</w:t>
            </w:r>
            <w:r w:rsidR="0059105A">
              <w:rPr>
                <w:color w:val="auto"/>
                <w:sz w:val="22"/>
                <w:szCs w:val="22"/>
              </w:rPr>
              <w:t>25,000</w:t>
            </w:r>
          </w:p>
        </w:tc>
      </w:tr>
      <w:tr w:rsidR="00D703F8" w14:paraId="13DDA24D" w14:textId="77777777" w:rsidTr="61C2FAD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0052" w14:textId="4D871FEE" w:rsidR="00D703F8" w:rsidRDefault="00D703F8" w:rsidP="00B24BA3">
            <w:pPr>
              <w:suppressAutoHyphens w:val="0"/>
              <w:autoSpaceDN/>
              <w:spacing w:before="60" w:after="60" w:line="240" w:lineRule="auto"/>
              <w:ind w:left="29" w:right="57"/>
              <w:rPr>
                <w:iCs/>
                <w:color w:val="auto"/>
                <w:szCs w:val="28"/>
                <w:lang w:val="en-US"/>
              </w:rPr>
            </w:pPr>
            <w:r>
              <w:rPr>
                <w:iCs/>
                <w:color w:val="auto"/>
                <w:szCs w:val="28"/>
                <w:lang w:val="en-US"/>
              </w:rPr>
              <w:t xml:space="preserve">Pastoral Team to support social and emotional wellbeing of pupils and families, strengthening resilience and readiness to learn. </w:t>
            </w:r>
          </w:p>
          <w:p w14:paraId="53E0BD69" w14:textId="6FCF37B7" w:rsidR="00680ADF" w:rsidRDefault="00680ADF" w:rsidP="00B24BA3">
            <w:pPr>
              <w:suppressAutoHyphens w:val="0"/>
              <w:autoSpaceDN/>
              <w:spacing w:before="60" w:after="60" w:line="240" w:lineRule="auto"/>
              <w:ind w:left="29" w:right="57"/>
              <w:rPr>
                <w:iCs/>
                <w:color w:val="auto"/>
                <w:szCs w:val="28"/>
                <w:lang w:val="en-US"/>
              </w:rPr>
            </w:pPr>
          </w:p>
          <w:p w14:paraId="33B5CD67" w14:textId="77777777" w:rsidR="00680ADF" w:rsidRPr="00275EB8" w:rsidRDefault="00680ADF" w:rsidP="00680ADF">
            <w:pPr>
              <w:suppressAutoHyphens w:val="0"/>
              <w:autoSpaceDN/>
              <w:spacing w:before="60" w:after="0" w:line="240" w:lineRule="auto"/>
              <w:ind w:left="29"/>
              <w:rPr>
                <w:rFonts w:cs="Arial"/>
                <w:iCs/>
                <w:color w:val="auto"/>
                <w:lang w:val="en-US" w:eastAsia="en-US"/>
              </w:rPr>
            </w:pPr>
            <w:r w:rsidRPr="00275EB8">
              <w:rPr>
                <w:rFonts w:cs="Arial"/>
                <w:iCs/>
                <w:color w:val="auto"/>
                <w:lang w:val="en-US" w:eastAsia="en-US"/>
              </w:rPr>
              <w:t>Improve the quality of social and emotional (SEL) learning.</w:t>
            </w:r>
          </w:p>
          <w:p w14:paraId="6095B478" w14:textId="77777777" w:rsidR="00680ADF" w:rsidRPr="00275EB8" w:rsidRDefault="00680ADF" w:rsidP="00680ADF">
            <w:pPr>
              <w:suppressAutoHyphens w:val="0"/>
              <w:autoSpaceDN/>
              <w:spacing w:after="0" w:line="240" w:lineRule="auto"/>
              <w:rPr>
                <w:rFonts w:cs="Arial"/>
                <w:iCs/>
                <w:color w:val="auto"/>
                <w:lang w:val="en-US" w:eastAsia="en-US"/>
              </w:rPr>
            </w:pPr>
          </w:p>
          <w:p w14:paraId="6A394771" w14:textId="7F05D4E7" w:rsidR="00680ADF" w:rsidRPr="00275EB8" w:rsidRDefault="00680ADF" w:rsidP="00680ADF">
            <w:pPr>
              <w:suppressAutoHyphens w:val="0"/>
              <w:autoSpaceDN/>
              <w:spacing w:line="240" w:lineRule="auto"/>
              <w:rPr>
                <w:rFonts w:cs="Arial"/>
                <w:iCs/>
                <w:color w:val="auto"/>
                <w:lang w:val="en-US" w:eastAsia="en-US"/>
              </w:rPr>
            </w:pPr>
            <w:r w:rsidRPr="00275EB8">
              <w:rPr>
                <w:rFonts w:cs="Arial"/>
                <w:iCs/>
                <w:color w:val="auto"/>
                <w:lang w:val="en-US" w:eastAsia="en-US"/>
              </w:rPr>
              <w:t>SEL</w:t>
            </w:r>
            <w:r>
              <w:rPr>
                <w:rFonts w:cs="Arial"/>
                <w:iCs/>
                <w:color w:val="auto"/>
                <w:lang w:val="en-US" w:eastAsia="en-US"/>
              </w:rPr>
              <w:t xml:space="preserve"> / TIAAS</w:t>
            </w:r>
            <w:r w:rsidRPr="00275EB8">
              <w:rPr>
                <w:rFonts w:cs="Arial"/>
                <w:iCs/>
                <w:color w:val="auto"/>
                <w:lang w:val="en-US" w:eastAsia="en-US"/>
              </w:rPr>
              <w:t xml:space="preserve"> approaches will be embedded into routine educational practices and supported by professional development and training for staff:</w:t>
            </w:r>
          </w:p>
          <w:p w14:paraId="3276B0D0" w14:textId="77777777" w:rsidR="00680ADF" w:rsidRPr="003D7ACE" w:rsidRDefault="00680ADF" w:rsidP="00680ADF">
            <w:pPr>
              <w:pStyle w:val="ListParagraph"/>
              <w:numPr>
                <w:ilvl w:val="0"/>
                <w:numId w:val="35"/>
              </w:numPr>
              <w:suppressAutoHyphens w:val="0"/>
              <w:autoSpaceDN/>
              <w:spacing w:line="240" w:lineRule="auto"/>
              <w:rPr>
                <w:rFonts w:cs="Arial"/>
                <w:iCs/>
                <w:color w:val="auto"/>
                <w:lang w:val="en-US" w:eastAsia="en-US"/>
              </w:rPr>
            </w:pPr>
            <w:r>
              <w:rPr>
                <w:rFonts w:cs="Arial"/>
                <w:iCs/>
                <w:color w:val="auto"/>
                <w:lang w:val="en-US" w:eastAsia="en-US"/>
              </w:rPr>
              <w:t>Pastoral Manager</w:t>
            </w:r>
            <w:r w:rsidRPr="00275EB8">
              <w:rPr>
                <w:rFonts w:cs="Arial"/>
                <w:iCs/>
                <w:color w:val="auto"/>
                <w:lang w:val="en-US" w:eastAsia="en-US"/>
              </w:rPr>
              <w:t xml:space="preserve"> </w:t>
            </w:r>
            <w:r>
              <w:rPr>
                <w:rFonts w:cs="Arial"/>
                <w:iCs/>
                <w:color w:val="auto"/>
                <w:lang w:val="en-US" w:eastAsia="en-US"/>
              </w:rPr>
              <w:t>/</w:t>
            </w:r>
            <w:r w:rsidRPr="00275EB8">
              <w:rPr>
                <w:rFonts w:cs="Arial"/>
                <w:iCs/>
                <w:color w:val="auto"/>
                <w:lang w:val="en-US" w:eastAsia="en-US"/>
              </w:rPr>
              <w:t>ELSA (Emotional literacy support assistant)</w:t>
            </w:r>
            <w:r>
              <w:rPr>
                <w:rFonts w:cs="Arial"/>
                <w:iCs/>
                <w:color w:val="auto"/>
                <w:lang w:val="en-US" w:eastAsia="en-US"/>
              </w:rPr>
              <w:t xml:space="preserve"> </w:t>
            </w:r>
            <w:r w:rsidRPr="003D7ACE">
              <w:rPr>
                <w:rFonts w:cs="Arial"/>
                <w:iCs/>
                <w:color w:val="auto"/>
                <w:lang w:val="en-US" w:eastAsia="en-US"/>
              </w:rPr>
              <w:t>to deliver whole-school training and provide resources to support SEL</w:t>
            </w:r>
          </w:p>
          <w:p w14:paraId="7B9947C3" w14:textId="0E69F195" w:rsidR="00680ADF" w:rsidRDefault="00680ADF" w:rsidP="00680ADF">
            <w:pPr>
              <w:suppressAutoHyphens w:val="0"/>
              <w:autoSpaceDN/>
              <w:spacing w:before="60" w:after="60" w:line="240" w:lineRule="auto"/>
              <w:ind w:left="29" w:right="57"/>
              <w:rPr>
                <w:iCs/>
                <w:color w:val="auto"/>
                <w:szCs w:val="28"/>
                <w:lang w:val="en-US"/>
              </w:rPr>
            </w:pPr>
            <w:r>
              <w:rPr>
                <w:rFonts w:cs="Arial"/>
                <w:iCs/>
                <w:color w:val="auto"/>
                <w:lang w:val="en-US" w:eastAsia="en-US"/>
              </w:rPr>
              <w:t>ELSA to receive supervision</w:t>
            </w:r>
          </w:p>
          <w:p w14:paraId="5FEF1205" w14:textId="77777777" w:rsidR="00D703F8" w:rsidRDefault="00D703F8" w:rsidP="00B24BA3">
            <w:pPr>
              <w:suppressAutoHyphens w:val="0"/>
              <w:autoSpaceDN/>
              <w:spacing w:before="60" w:after="60" w:line="240" w:lineRule="auto"/>
              <w:ind w:left="29" w:right="57"/>
              <w:rPr>
                <w:iCs/>
                <w:color w:val="auto"/>
                <w:szCs w:val="28"/>
                <w:lang w:val="en-US"/>
              </w:rPr>
            </w:pPr>
          </w:p>
          <w:p w14:paraId="7DA567AC" w14:textId="77777777" w:rsidR="00680ADF" w:rsidRDefault="00680ADF" w:rsidP="00B24BA3">
            <w:pPr>
              <w:suppressAutoHyphens w:val="0"/>
              <w:autoSpaceDN/>
              <w:spacing w:before="60" w:after="60" w:line="240" w:lineRule="auto"/>
              <w:ind w:left="29" w:right="57"/>
              <w:rPr>
                <w:iCs/>
                <w:color w:val="auto"/>
                <w:szCs w:val="28"/>
                <w:lang w:val="en-US"/>
              </w:rPr>
            </w:pPr>
          </w:p>
          <w:p w14:paraId="35612EFB" w14:textId="048F0452" w:rsidR="00680ADF" w:rsidRPr="00E27862" w:rsidRDefault="00680ADF" w:rsidP="00B24BA3">
            <w:pPr>
              <w:suppressAutoHyphens w:val="0"/>
              <w:autoSpaceDN/>
              <w:spacing w:before="60" w:after="60" w:line="240" w:lineRule="auto"/>
              <w:ind w:left="29" w:right="57"/>
              <w:rPr>
                <w:iCs/>
                <w:color w:val="auto"/>
                <w:szCs w:val="28"/>
                <w:lang w:val="en-US"/>
              </w:rPr>
            </w:pP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4163E" w14:textId="12A52288" w:rsidR="00680ADF" w:rsidRDefault="00D703F8" w:rsidP="00680ADF">
            <w:pPr>
              <w:pStyle w:val="TableRowCentered"/>
              <w:spacing w:after="120"/>
              <w:ind w:left="0"/>
              <w:jc w:val="left"/>
              <w:rPr>
                <w:color w:val="auto"/>
                <w:szCs w:val="22"/>
              </w:rPr>
            </w:pPr>
            <w:r>
              <w:rPr>
                <w:color w:val="auto"/>
                <w:szCs w:val="22"/>
              </w:rPr>
              <w:t>A greater proportion of disadvantaged pupils require social and emotional support and family support. More disadvantaged pupils suffer from low-self-esteem and do not have enough belief in their ability as a learner. Mentoring and family support has a direct impact on improving disadvantaged pupils’ resilience and readiness to learn, improving their rates of progress.</w:t>
            </w:r>
          </w:p>
          <w:p w14:paraId="642A673D" w14:textId="77777777" w:rsidR="00680ADF" w:rsidRDefault="00680ADF" w:rsidP="00B24BA3">
            <w:pPr>
              <w:pStyle w:val="TableRowCentered"/>
              <w:spacing w:after="120"/>
              <w:ind w:left="37"/>
              <w:jc w:val="left"/>
              <w:rPr>
                <w:color w:val="auto"/>
                <w:szCs w:val="22"/>
              </w:rPr>
            </w:pPr>
          </w:p>
          <w:p w14:paraId="545316F9" w14:textId="77777777" w:rsidR="00680ADF" w:rsidRPr="00275EB8" w:rsidRDefault="00680ADF" w:rsidP="00680ADF">
            <w:pPr>
              <w:pStyle w:val="TableRowCentered"/>
              <w:jc w:val="left"/>
              <w:rPr>
                <w:rFonts w:cs="Arial"/>
                <w:color w:val="auto"/>
                <w:szCs w:val="24"/>
              </w:rPr>
            </w:pPr>
            <w:r w:rsidRPr="00275EB8">
              <w:rPr>
                <w:rFonts w:cs="Arial"/>
                <w:color w:val="auto"/>
                <w:szCs w:val="24"/>
              </w:rPr>
              <w:t>There is extensive evidence associating childhood social and emotional skills with improved outcomes at school and in later life (e.g., improved academic performance, attitudes, behaviour and relationships with peers)</w:t>
            </w:r>
            <w:r>
              <w:rPr>
                <w:rFonts w:cs="Arial"/>
                <w:color w:val="auto"/>
                <w:szCs w:val="24"/>
              </w:rPr>
              <w:t>.</w:t>
            </w:r>
          </w:p>
          <w:p w14:paraId="0B9D3DDD" w14:textId="77777777" w:rsidR="00D703F8" w:rsidRDefault="00D703F8" w:rsidP="00680ADF"/>
          <w:p w14:paraId="191EF96A" w14:textId="04214694" w:rsidR="00BC0F34" w:rsidRPr="00680ADF" w:rsidRDefault="00BC0F34" w:rsidP="00680ADF"/>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9D807" w14:textId="77777777" w:rsidR="00D703F8" w:rsidRDefault="00D703F8" w:rsidP="61C2FAD1">
            <w:pPr>
              <w:pStyle w:val="TableRowCentered"/>
              <w:jc w:val="left"/>
              <w:rPr>
                <w:color w:val="auto"/>
                <w:sz w:val="22"/>
                <w:szCs w:val="22"/>
              </w:rPr>
            </w:pPr>
          </w:p>
          <w:p w14:paraId="31E64F79" w14:textId="77777777" w:rsidR="0059105A" w:rsidRDefault="0059105A" w:rsidP="0059105A">
            <w:pPr>
              <w:pStyle w:val="TableRowCentered"/>
              <w:ind w:left="0"/>
              <w:jc w:val="left"/>
              <w:rPr>
                <w:color w:val="0D0D0D" w:themeColor="text1" w:themeTint="F2"/>
                <w:szCs w:val="24"/>
              </w:rPr>
            </w:pPr>
            <w:r>
              <w:rPr>
                <w:color w:val="0D0D0D" w:themeColor="text1" w:themeTint="F2"/>
                <w:szCs w:val="24"/>
              </w:rPr>
              <w:t>HLTA/ Pastoral Manager</w:t>
            </w:r>
          </w:p>
          <w:p w14:paraId="761234F9" w14:textId="77777777" w:rsidR="00BC0F34" w:rsidRDefault="0059105A" w:rsidP="0059105A">
            <w:pPr>
              <w:pStyle w:val="TableRowCentered"/>
              <w:ind w:left="0"/>
              <w:jc w:val="left"/>
              <w:rPr>
                <w:color w:val="0D0D0D" w:themeColor="text1" w:themeTint="F2"/>
                <w:szCs w:val="24"/>
              </w:rPr>
            </w:pPr>
            <w:r>
              <w:rPr>
                <w:color w:val="0D0D0D" w:themeColor="text1" w:themeTint="F2"/>
                <w:szCs w:val="24"/>
              </w:rPr>
              <w:t>&amp; L3 Learning Mentor salary costs:</w:t>
            </w:r>
          </w:p>
          <w:p w14:paraId="207A6E13" w14:textId="6759071F" w:rsidR="0059105A" w:rsidRPr="00E27862" w:rsidRDefault="0059105A" w:rsidP="0059105A">
            <w:pPr>
              <w:pStyle w:val="TableRowCentered"/>
              <w:ind w:left="0"/>
              <w:jc w:val="left"/>
              <w:rPr>
                <w:color w:val="0D0D0D" w:themeColor="text1" w:themeTint="F2"/>
                <w:szCs w:val="24"/>
              </w:rPr>
            </w:pPr>
            <w:r>
              <w:rPr>
                <w:color w:val="0D0D0D" w:themeColor="text1" w:themeTint="F2"/>
                <w:szCs w:val="24"/>
              </w:rPr>
              <w:t>£72,623</w:t>
            </w:r>
          </w:p>
        </w:tc>
      </w:tr>
      <w:tr w:rsidR="0059105A" w14:paraId="650F82D6" w14:textId="77777777" w:rsidTr="61C2FAD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EDB62" w14:textId="23ECD08B" w:rsidR="0059105A" w:rsidRDefault="0059105A" w:rsidP="0059105A">
            <w:pPr>
              <w:tabs>
                <w:tab w:val="left" w:pos="2910"/>
              </w:tabs>
              <w:suppressAutoHyphens w:val="0"/>
              <w:autoSpaceDN/>
              <w:spacing w:before="60" w:after="60" w:line="240" w:lineRule="auto"/>
              <w:ind w:left="29" w:right="57"/>
              <w:rPr>
                <w:iCs/>
                <w:color w:val="auto"/>
                <w:szCs w:val="28"/>
                <w:lang w:val="en-US"/>
              </w:rPr>
            </w:pPr>
            <w:r>
              <w:rPr>
                <w:iCs/>
                <w:color w:val="auto"/>
                <w:szCs w:val="28"/>
                <w:lang w:val="en-US"/>
              </w:rPr>
              <w:t xml:space="preserve">Counsellor to provide </w:t>
            </w:r>
            <w:r w:rsidR="008726E2">
              <w:rPr>
                <w:iCs/>
                <w:color w:val="auto"/>
                <w:szCs w:val="28"/>
                <w:lang w:val="en-US"/>
              </w:rPr>
              <w:t>counselling to pupils - 1 day a week</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301A9" w14:textId="77777777" w:rsidR="0059105A" w:rsidRDefault="0059105A" w:rsidP="00680ADF">
            <w:pPr>
              <w:pStyle w:val="TableRowCentered"/>
              <w:spacing w:after="120"/>
              <w:ind w:left="0"/>
              <w:jc w:val="left"/>
              <w:rPr>
                <w:color w:val="auto"/>
                <w:szCs w:val="22"/>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3A00A" w14:textId="3935DF64" w:rsidR="0059105A" w:rsidRPr="00644A3C" w:rsidRDefault="006C31F2" w:rsidP="61C2FAD1">
            <w:pPr>
              <w:pStyle w:val="TableRowCentered"/>
              <w:jc w:val="left"/>
              <w:rPr>
                <w:color w:val="auto"/>
                <w:sz w:val="22"/>
                <w:szCs w:val="22"/>
                <w:highlight w:val="yellow"/>
              </w:rPr>
            </w:pPr>
            <w:r w:rsidRPr="006C31F2">
              <w:rPr>
                <w:color w:val="auto"/>
                <w:sz w:val="22"/>
                <w:szCs w:val="22"/>
              </w:rPr>
              <w:t xml:space="preserve">£10000 </w:t>
            </w:r>
          </w:p>
        </w:tc>
      </w:tr>
      <w:tr w:rsidR="00D703F8" w14:paraId="1C6838C6" w14:textId="77777777" w:rsidTr="61C2FAD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72A16" w14:textId="77777777" w:rsidR="00D703F8" w:rsidRDefault="00D703F8" w:rsidP="00B24BA3">
            <w:pPr>
              <w:tabs>
                <w:tab w:val="left" w:pos="3135"/>
              </w:tabs>
              <w:suppressAutoHyphens w:val="0"/>
              <w:autoSpaceDN/>
              <w:spacing w:before="60" w:after="60" w:line="240" w:lineRule="auto"/>
              <w:ind w:right="57"/>
              <w:rPr>
                <w:iCs/>
                <w:color w:val="auto"/>
                <w:szCs w:val="28"/>
                <w:lang w:val="en-US"/>
              </w:rPr>
            </w:pPr>
            <w:r>
              <w:rPr>
                <w:iCs/>
                <w:color w:val="auto"/>
                <w:szCs w:val="28"/>
                <w:lang w:val="en-US"/>
              </w:rPr>
              <w:t>Enrichment:</w:t>
            </w:r>
          </w:p>
          <w:p w14:paraId="6F505584" w14:textId="2A5AED33" w:rsidR="00D703F8" w:rsidRDefault="00D703F8" w:rsidP="00B24BA3">
            <w:pPr>
              <w:pStyle w:val="ListParagraph"/>
              <w:numPr>
                <w:ilvl w:val="0"/>
                <w:numId w:val="36"/>
              </w:numPr>
              <w:tabs>
                <w:tab w:val="left" w:pos="3135"/>
              </w:tabs>
              <w:suppressAutoHyphens w:val="0"/>
              <w:autoSpaceDN/>
              <w:spacing w:before="60" w:after="60" w:line="240" w:lineRule="auto"/>
              <w:ind w:right="57"/>
              <w:rPr>
                <w:iCs/>
                <w:color w:val="auto"/>
                <w:szCs w:val="28"/>
                <w:lang w:val="en-US"/>
              </w:rPr>
            </w:pPr>
            <w:r w:rsidRPr="00146613">
              <w:rPr>
                <w:iCs/>
                <w:color w:val="auto"/>
                <w:szCs w:val="28"/>
                <w:lang w:val="en-US"/>
              </w:rPr>
              <w:t>wider opportunity music (year 4)</w:t>
            </w:r>
          </w:p>
          <w:p w14:paraId="7D4A93EB" w14:textId="77777777" w:rsidR="00BC0F34" w:rsidRPr="00BC0F34" w:rsidRDefault="00BC0F34" w:rsidP="00BC0F34">
            <w:pPr>
              <w:tabs>
                <w:tab w:val="left" w:pos="3135"/>
              </w:tabs>
              <w:suppressAutoHyphens w:val="0"/>
              <w:autoSpaceDN/>
              <w:spacing w:before="60" w:after="60" w:line="240" w:lineRule="auto"/>
              <w:ind w:right="57"/>
              <w:rPr>
                <w:iCs/>
                <w:color w:val="auto"/>
                <w:szCs w:val="28"/>
                <w:lang w:val="en-US"/>
              </w:rPr>
            </w:pPr>
          </w:p>
          <w:p w14:paraId="57814EB2" w14:textId="7E74367F" w:rsidR="00BC0F34" w:rsidRDefault="00BC0F34" w:rsidP="00BC0F34">
            <w:pPr>
              <w:pStyle w:val="ListParagraph"/>
              <w:numPr>
                <w:ilvl w:val="0"/>
                <w:numId w:val="36"/>
              </w:numPr>
              <w:tabs>
                <w:tab w:val="left" w:pos="3135"/>
              </w:tabs>
              <w:suppressAutoHyphens w:val="0"/>
              <w:autoSpaceDN/>
              <w:spacing w:before="60" w:after="60" w:line="240" w:lineRule="auto"/>
              <w:ind w:right="57"/>
              <w:rPr>
                <w:iCs/>
                <w:color w:val="auto"/>
                <w:szCs w:val="28"/>
                <w:lang w:val="en-US"/>
              </w:rPr>
            </w:pPr>
            <w:r>
              <w:rPr>
                <w:iCs/>
                <w:color w:val="auto"/>
                <w:szCs w:val="28"/>
                <w:lang w:val="en-US"/>
              </w:rPr>
              <w:lastRenderedPageBreak/>
              <w:t xml:space="preserve">Purchase Silver package from Birmingham Hippodrome Education Network – half a day a week. </w:t>
            </w:r>
          </w:p>
          <w:p w14:paraId="3EEA28C4" w14:textId="77ABBCAA" w:rsidR="00BC0F34" w:rsidRPr="00BC0F34" w:rsidRDefault="00CB7EE3" w:rsidP="00CB7EE3">
            <w:pPr>
              <w:ind w:left="731"/>
              <w:rPr>
                <w:iCs/>
                <w:color w:val="auto"/>
                <w:szCs w:val="28"/>
                <w:lang w:val="en-US"/>
              </w:rPr>
            </w:pPr>
            <w:r>
              <w:rPr>
                <w:iCs/>
                <w:color w:val="auto"/>
                <w:szCs w:val="28"/>
                <w:lang w:val="en-US"/>
              </w:rPr>
              <w:t xml:space="preserve"> </w:t>
            </w:r>
            <w:r w:rsidR="00BC0F34">
              <w:rPr>
                <w:iCs/>
                <w:color w:val="auto"/>
                <w:szCs w:val="28"/>
                <w:lang w:val="en-US"/>
              </w:rPr>
              <w:t>E</w:t>
            </w:r>
            <w:r w:rsidR="00BC0F34" w:rsidRPr="00BC0F34">
              <w:rPr>
                <w:iCs/>
                <w:color w:val="auto"/>
                <w:szCs w:val="28"/>
                <w:lang w:val="en-US"/>
              </w:rPr>
              <w:t xml:space="preserve">ach class </w:t>
            </w:r>
            <w:r w:rsidR="00BC0F34">
              <w:rPr>
                <w:iCs/>
                <w:color w:val="auto"/>
                <w:szCs w:val="28"/>
                <w:lang w:val="en-US"/>
              </w:rPr>
              <w:t xml:space="preserve">will benefit from half </w:t>
            </w:r>
            <w:r w:rsidR="004F2A38" w:rsidRPr="00BC0F34">
              <w:rPr>
                <w:iCs/>
                <w:color w:val="auto"/>
                <w:szCs w:val="28"/>
                <w:lang w:val="en-US"/>
              </w:rPr>
              <w:t>a term’s t</w:t>
            </w:r>
            <w:r w:rsidR="00D703F8" w:rsidRPr="00BC0F34">
              <w:rPr>
                <w:iCs/>
                <w:color w:val="auto"/>
                <w:szCs w:val="28"/>
                <w:lang w:val="en-US"/>
              </w:rPr>
              <w:t>heatre workshop</w:t>
            </w:r>
            <w:r w:rsidR="00BC0F34">
              <w:rPr>
                <w:iCs/>
                <w:color w:val="auto"/>
                <w:szCs w:val="28"/>
                <w:lang w:val="en-US"/>
              </w:rPr>
              <w:t>, there will also be an afterschool drama club</w:t>
            </w:r>
            <w:r>
              <w:rPr>
                <w:iCs/>
                <w:color w:val="auto"/>
                <w:szCs w:val="28"/>
                <w:lang w:val="en-US"/>
              </w:rPr>
              <w:t xml:space="preserve"> and the opportunity for pupils to engage with the Saturday morning theatre workshop at a subsidized rate.</w:t>
            </w:r>
          </w:p>
          <w:p w14:paraId="74D75A4A" w14:textId="77777777" w:rsidR="00BC0F34" w:rsidRPr="00BC0F34" w:rsidRDefault="00BC0F34" w:rsidP="00BC0F34">
            <w:pPr>
              <w:pStyle w:val="ListParagraph"/>
              <w:numPr>
                <w:ilvl w:val="0"/>
                <w:numId w:val="0"/>
              </w:numPr>
              <w:ind w:left="720"/>
              <w:rPr>
                <w:iCs/>
                <w:color w:val="auto"/>
                <w:szCs w:val="28"/>
                <w:lang w:val="en-US"/>
              </w:rPr>
            </w:pPr>
          </w:p>
          <w:p w14:paraId="1246B58F" w14:textId="263D8A88" w:rsidR="00D703F8" w:rsidRDefault="00D703F8" w:rsidP="00B24BA3">
            <w:pPr>
              <w:pStyle w:val="ListParagraph"/>
              <w:numPr>
                <w:ilvl w:val="0"/>
                <w:numId w:val="36"/>
              </w:numPr>
              <w:tabs>
                <w:tab w:val="left" w:pos="3135"/>
              </w:tabs>
              <w:suppressAutoHyphens w:val="0"/>
              <w:autoSpaceDN/>
              <w:spacing w:before="60" w:after="60" w:line="240" w:lineRule="auto"/>
              <w:ind w:right="57"/>
              <w:rPr>
                <w:iCs/>
                <w:color w:val="auto"/>
                <w:szCs w:val="28"/>
                <w:lang w:val="en-US"/>
              </w:rPr>
            </w:pPr>
            <w:r>
              <w:rPr>
                <w:iCs/>
                <w:color w:val="auto"/>
                <w:szCs w:val="28"/>
                <w:lang w:val="en-US"/>
              </w:rPr>
              <w:t xml:space="preserve">Educational visits </w:t>
            </w:r>
            <w:r w:rsidR="009104F7">
              <w:rPr>
                <w:iCs/>
                <w:color w:val="auto"/>
                <w:szCs w:val="28"/>
                <w:lang w:val="en-US"/>
              </w:rPr>
              <w:t>subsidized</w:t>
            </w:r>
            <w:r w:rsidR="008726E2">
              <w:rPr>
                <w:iCs/>
                <w:color w:val="auto"/>
                <w:szCs w:val="28"/>
                <w:lang w:val="en-US"/>
              </w:rPr>
              <w:t xml:space="preserve"> for disadvantaged pupils</w:t>
            </w:r>
          </w:p>
          <w:p w14:paraId="6FAB0173" w14:textId="7888AE90" w:rsidR="009104F7" w:rsidRPr="00146613" w:rsidRDefault="009104F7" w:rsidP="004F2A38">
            <w:pPr>
              <w:pStyle w:val="ListParagraph"/>
              <w:numPr>
                <w:ilvl w:val="0"/>
                <w:numId w:val="0"/>
              </w:numPr>
              <w:tabs>
                <w:tab w:val="left" w:pos="3135"/>
              </w:tabs>
              <w:suppressAutoHyphens w:val="0"/>
              <w:autoSpaceDN/>
              <w:spacing w:before="60" w:after="60" w:line="240" w:lineRule="auto"/>
              <w:ind w:left="720" w:right="57"/>
              <w:rPr>
                <w:iCs/>
                <w:color w:val="auto"/>
                <w:szCs w:val="28"/>
                <w:lang w:val="en-US"/>
              </w:rPr>
            </w:pP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39862" w14:textId="77777777" w:rsidR="00D703F8" w:rsidRDefault="00D703F8" w:rsidP="00B24BA3">
            <w:pPr>
              <w:pStyle w:val="TableRowCentered"/>
              <w:spacing w:after="120"/>
              <w:ind w:left="0"/>
              <w:jc w:val="left"/>
              <w:rPr>
                <w:color w:val="auto"/>
                <w:szCs w:val="22"/>
              </w:rPr>
            </w:pPr>
            <w:r>
              <w:rPr>
                <w:color w:val="auto"/>
                <w:szCs w:val="22"/>
              </w:rPr>
              <w:lastRenderedPageBreak/>
              <w:t xml:space="preserve">Providing greater opportunities for disadvantaged pupils to experience enrichment/cultural activities not only supports their well-being and mental health, but </w:t>
            </w:r>
            <w:r>
              <w:rPr>
                <w:color w:val="auto"/>
                <w:szCs w:val="22"/>
              </w:rPr>
              <w:lastRenderedPageBreak/>
              <w:t>also enables them to make good academic progress.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9A7F8" w14:textId="527F9919" w:rsidR="00D703F8" w:rsidRDefault="00D703F8" w:rsidP="00BC0F34">
            <w:pPr>
              <w:pStyle w:val="TableRowCentered"/>
              <w:ind w:left="0"/>
              <w:jc w:val="left"/>
              <w:rPr>
                <w:color w:val="auto"/>
                <w:sz w:val="22"/>
                <w:szCs w:val="22"/>
              </w:rPr>
            </w:pPr>
          </w:p>
          <w:p w14:paraId="74A00702" w14:textId="0EF7BEB9" w:rsidR="009104F7" w:rsidRDefault="3547CFAF" w:rsidP="00B24BA3">
            <w:pPr>
              <w:pStyle w:val="TableRowCentered"/>
              <w:jc w:val="left"/>
              <w:rPr>
                <w:color w:val="auto"/>
                <w:sz w:val="22"/>
                <w:szCs w:val="22"/>
              </w:rPr>
            </w:pPr>
            <w:r w:rsidRPr="61C2FAD1">
              <w:rPr>
                <w:color w:val="auto"/>
                <w:sz w:val="22"/>
                <w:szCs w:val="22"/>
              </w:rPr>
              <w:t>£</w:t>
            </w:r>
            <w:r w:rsidR="008726E2">
              <w:rPr>
                <w:color w:val="auto"/>
                <w:sz w:val="22"/>
                <w:szCs w:val="22"/>
              </w:rPr>
              <w:t>5000</w:t>
            </w:r>
          </w:p>
          <w:p w14:paraId="68C50595" w14:textId="79F96E4F" w:rsidR="61C2FAD1" w:rsidRDefault="61C2FAD1" w:rsidP="61C2FAD1">
            <w:pPr>
              <w:pStyle w:val="TableRowCentered"/>
              <w:jc w:val="left"/>
              <w:rPr>
                <w:color w:val="0D0D0D" w:themeColor="text1" w:themeTint="F2"/>
                <w:szCs w:val="24"/>
              </w:rPr>
            </w:pPr>
          </w:p>
          <w:p w14:paraId="62F7AD4C" w14:textId="52C01C97" w:rsidR="009104F7" w:rsidRDefault="009104F7" w:rsidP="00B24BA3">
            <w:pPr>
              <w:pStyle w:val="TableRowCentered"/>
              <w:jc w:val="left"/>
              <w:rPr>
                <w:color w:val="auto"/>
                <w:sz w:val="22"/>
                <w:szCs w:val="22"/>
              </w:rPr>
            </w:pPr>
          </w:p>
          <w:p w14:paraId="18424C8F" w14:textId="77777777" w:rsidR="008726E2" w:rsidRDefault="008726E2" w:rsidP="008726E2">
            <w:pPr>
              <w:pStyle w:val="TableRowCentered"/>
              <w:ind w:left="0"/>
              <w:jc w:val="left"/>
              <w:rPr>
                <w:color w:val="auto"/>
                <w:sz w:val="22"/>
                <w:szCs w:val="22"/>
              </w:rPr>
            </w:pPr>
          </w:p>
          <w:p w14:paraId="2F15C0D9" w14:textId="427FD69A" w:rsidR="009104F7" w:rsidRDefault="009104F7" w:rsidP="008726E2">
            <w:pPr>
              <w:pStyle w:val="TableRowCentered"/>
              <w:ind w:left="0"/>
              <w:jc w:val="left"/>
              <w:rPr>
                <w:color w:val="auto"/>
                <w:sz w:val="22"/>
                <w:szCs w:val="22"/>
              </w:rPr>
            </w:pPr>
          </w:p>
          <w:p w14:paraId="7905EEB8" w14:textId="30082F8E" w:rsidR="009104F7" w:rsidRDefault="3547CFAF" w:rsidP="008726E2">
            <w:pPr>
              <w:pStyle w:val="TableRowCentered"/>
              <w:ind w:left="0"/>
              <w:jc w:val="left"/>
              <w:rPr>
                <w:color w:val="auto"/>
                <w:sz w:val="22"/>
                <w:szCs w:val="22"/>
              </w:rPr>
            </w:pPr>
            <w:r w:rsidRPr="61C2FAD1">
              <w:rPr>
                <w:color w:val="auto"/>
                <w:sz w:val="22"/>
                <w:szCs w:val="22"/>
              </w:rPr>
              <w:lastRenderedPageBreak/>
              <w:t>£</w:t>
            </w:r>
            <w:r w:rsidR="008726E2">
              <w:rPr>
                <w:color w:val="auto"/>
                <w:sz w:val="22"/>
                <w:szCs w:val="22"/>
              </w:rPr>
              <w:t>3,000</w:t>
            </w:r>
          </w:p>
          <w:p w14:paraId="64853D77" w14:textId="77777777" w:rsidR="009104F7" w:rsidRDefault="009104F7" w:rsidP="00CB7EE3">
            <w:pPr>
              <w:pStyle w:val="TableRowCentered"/>
              <w:ind w:left="0"/>
              <w:jc w:val="left"/>
              <w:rPr>
                <w:color w:val="auto"/>
                <w:sz w:val="22"/>
                <w:szCs w:val="22"/>
              </w:rPr>
            </w:pPr>
          </w:p>
          <w:p w14:paraId="4CFC0FA4" w14:textId="77777777" w:rsidR="00D703F8" w:rsidRDefault="00D703F8" w:rsidP="00B24BA3">
            <w:pPr>
              <w:pStyle w:val="TableRowCentered"/>
              <w:jc w:val="left"/>
              <w:rPr>
                <w:color w:val="auto"/>
                <w:sz w:val="22"/>
                <w:szCs w:val="22"/>
              </w:rPr>
            </w:pPr>
          </w:p>
          <w:p w14:paraId="3FA1DD42" w14:textId="77777777" w:rsidR="008726E2" w:rsidRDefault="008726E2" w:rsidP="00B24BA3">
            <w:pPr>
              <w:pStyle w:val="TableRowCentered"/>
              <w:jc w:val="left"/>
              <w:rPr>
                <w:color w:val="auto"/>
                <w:sz w:val="22"/>
                <w:szCs w:val="22"/>
              </w:rPr>
            </w:pPr>
          </w:p>
          <w:p w14:paraId="2D26814E" w14:textId="77777777" w:rsidR="008726E2" w:rsidRDefault="008726E2" w:rsidP="00B24BA3">
            <w:pPr>
              <w:pStyle w:val="TableRowCentered"/>
              <w:jc w:val="left"/>
              <w:rPr>
                <w:color w:val="auto"/>
                <w:sz w:val="22"/>
                <w:szCs w:val="22"/>
              </w:rPr>
            </w:pPr>
          </w:p>
          <w:p w14:paraId="33CD1F3B" w14:textId="77777777" w:rsidR="008726E2" w:rsidRDefault="008726E2" w:rsidP="00B24BA3">
            <w:pPr>
              <w:pStyle w:val="TableRowCentered"/>
              <w:jc w:val="left"/>
              <w:rPr>
                <w:color w:val="auto"/>
                <w:sz w:val="22"/>
                <w:szCs w:val="22"/>
              </w:rPr>
            </w:pPr>
          </w:p>
          <w:p w14:paraId="6790AEB4" w14:textId="77777777" w:rsidR="008726E2" w:rsidRDefault="008726E2" w:rsidP="00B24BA3">
            <w:pPr>
              <w:pStyle w:val="TableRowCentered"/>
              <w:jc w:val="left"/>
              <w:rPr>
                <w:color w:val="auto"/>
                <w:sz w:val="22"/>
                <w:szCs w:val="22"/>
              </w:rPr>
            </w:pPr>
          </w:p>
          <w:p w14:paraId="56DC57DC" w14:textId="77777777" w:rsidR="008726E2" w:rsidRDefault="008726E2" w:rsidP="00B24BA3">
            <w:pPr>
              <w:pStyle w:val="TableRowCentered"/>
              <w:jc w:val="left"/>
              <w:rPr>
                <w:color w:val="auto"/>
                <w:sz w:val="22"/>
                <w:szCs w:val="22"/>
              </w:rPr>
            </w:pPr>
          </w:p>
          <w:p w14:paraId="130164A2" w14:textId="77777777" w:rsidR="008726E2" w:rsidRDefault="008726E2" w:rsidP="00B24BA3">
            <w:pPr>
              <w:pStyle w:val="TableRowCentered"/>
              <w:jc w:val="left"/>
              <w:rPr>
                <w:color w:val="auto"/>
                <w:sz w:val="22"/>
                <w:szCs w:val="22"/>
              </w:rPr>
            </w:pPr>
          </w:p>
          <w:p w14:paraId="02A9C88A" w14:textId="77777777" w:rsidR="008726E2" w:rsidRDefault="008726E2" w:rsidP="00B24BA3">
            <w:pPr>
              <w:pStyle w:val="TableRowCentered"/>
              <w:jc w:val="left"/>
              <w:rPr>
                <w:color w:val="auto"/>
                <w:sz w:val="22"/>
                <w:szCs w:val="22"/>
              </w:rPr>
            </w:pPr>
          </w:p>
          <w:p w14:paraId="10395306" w14:textId="77777777" w:rsidR="008726E2" w:rsidRDefault="008726E2" w:rsidP="00B24BA3">
            <w:pPr>
              <w:pStyle w:val="TableRowCentered"/>
              <w:jc w:val="left"/>
              <w:rPr>
                <w:color w:val="auto"/>
                <w:sz w:val="22"/>
                <w:szCs w:val="22"/>
              </w:rPr>
            </w:pPr>
          </w:p>
          <w:p w14:paraId="7365B88D" w14:textId="77777777" w:rsidR="008726E2" w:rsidRDefault="008726E2" w:rsidP="00B24BA3">
            <w:pPr>
              <w:pStyle w:val="TableRowCentered"/>
              <w:jc w:val="left"/>
              <w:rPr>
                <w:color w:val="auto"/>
                <w:sz w:val="22"/>
                <w:szCs w:val="22"/>
              </w:rPr>
            </w:pPr>
          </w:p>
          <w:p w14:paraId="7F16C1C6" w14:textId="77777777" w:rsidR="008726E2" w:rsidRDefault="008726E2" w:rsidP="00B24BA3">
            <w:pPr>
              <w:pStyle w:val="TableRowCentered"/>
              <w:jc w:val="left"/>
              <w:rPr>
                <w:color w:val="auto"/>
                <w:sz w:val="22"/>
                <w:szCs w:val="22"/>
              </w:rPr>
            </w:pPr>
          </w:p>
          <w:p w14:paraId="60923069" w14:textId="77777777" w:rsidR="008726E2" w:rsidRDefault="008726E2" w:rsidP="00B24BA3">
            <w:pPr>
              <w:pStyle w:val="TableRowCentered"/>
              <w:jc w:val="left"/>
              <w:rPr>
                <w:color w:val="auto"/>
                <w:sz w:val="22"/>
                <w:szCs w:val="22"/>
              </w:rPr>
            </w:pPr>
          </w:p>
          <w:p w14:paraId="42AE08EF" w14:textId="77777777" w:rsidR="008726E2" w:rsidRDefault="008726E2" w:rsidP="00B24BA3">
            <w:pPr>
              <w:pStyle w:val="TableRowCentered"/>
              <w:jc w:val="left"/>
              <w:rPr>
                <w:color w:val="auto"/>
                <w:sz w:val="22"/>
                <w:szCs w:val="22"/>
              </w:rPr>
            </w:pPr>
          </w:p>
          <w:p w14:paraId="420D89B2" w14:textId="34B6B80C" w:rsidR="008726E2" w:rsidRPr="00E27862" w:rsidRDefault="008726E2" w:rsidP="008726E2">
            <w:pPr>
              <w:pStyle w:val="TableRowCentered"/>
              <w:ind w:left="0"/>
              <w:jc w:val="left"/>
              <w:rPr>
                <w:color w:val="auto"/>
                <w:sz w:val="22"/>
                <w:szCs w:val="22"/>
              </w:rPr>
            </w:pPr>
            <w:r>
              <w:rPr>
                <w:color w:val="auto"/>
                <w:sz w:val="22"/>
                <w:szCs w:val="22"/>
              </w:rPr>
              <w:t>£10,000</w:t>
            </w:r>
          </w:p>
        </w:tc>
      </w:tr>
    </w:tbl>
    <w:p w14:paraId="1F9DE2E4" w14:textId="071606EB" w:rsidR="008726E2" w:rsidRDefault="008726E2" w:rsidP="00D703F8">
      <w:pPr>
        <w:spacing w:after="120"/>
        <w:rPr>
          <w:b/>
          <w:bCs/>
          <w:color w:val="104F75"/>
          <w:sz w:val="32"/>
          <w:szCs w:val="28"/>
        </w:rPr>
      </w:pPr>
    </w:p>
    <w:p w14:paraId="02170EC0" w14:textId="499D7CF1" w:rsidR="00B972EB" w:rsidRDefault="00B972EB" w:rsidP="00D703F8">
      <w:pPr>
        <w:spacing w:after="120"/>
        <w:rPr>
          <w:b/>
          <w:bCs/>
          <w:color w:val="104F75"/>
          <w:sz w:val="32"/>
          <w:szCs w:val="28"/>
        </w:rPr>
      </w:pPr>
    </w:p>
    <w:p w14:paraId="39CF154D" w14:textId="4F9BE0BF" w:rsidR="00B972EB" w:rsidRDefault="00B972EB" w:rsidP="00D703F8">
      <w:pPr>
        <w:spacing w:after="120"/>
        <w:rPr>
          <w:b/>
          <w:bCs/>
          <w:color w:val="104F75"/>
          <w:sz w:val="32"/>
          <w:szCs w:val="28"/>
        </w:rPr>
      </w:pPr>
    </w:p>
    <w:p w14:paraId="2A09D52E" w14:textId="56441EBA" w:rsidR="00C82D4C" w:rsidRDefault="00C82D4C" w:rsidP="00D703F8">
      <w:pPr>
        <w:spacing w:after="120"/>
        <w:rPr>
          <w:b/>
          <w:bCs/>
          <w:color w:val="104F75"/>
          <w:sz w:val="32"/>
          <w:szCs w:val="28"/>
        </w:rPr>
      </w:pPr>
    </w:p>
    <w:p w14:paraId="0E5B9752" w14:textId="6AC8DEC8" w:rsidR="00C82D4C" w:rsidRDefault="00C82D4C" w:rsidP="00D703F8">
      <w:pPr>
        <w:spacing w:after="120"/>
        <w:rPr>
          <w:b/>
          <w:bCs/>
          <w:color w:val="104F75"/>
          <w:sz w:val="32"/>
          <w:szCs w:val="28"/>
        </w:rPr>
      </w:pPr>
    </w:p>
    <w:p w14:paraId="37178F20" w14:textId="1DDA8AD4" w:rsidR="00C82D4C" w:rsidRDefault="00C82D4C" w:rsidP="00D703F8">
      <w:pPr>
        <w:spacing w:after="120"/>
        <w:rPr>
          <w:b/>
          <w:bCs/>
          <w:color w:val="104F75"/>
          <w:sz w:val="32"/>
          <w:szCs w:val="28"/>
        </w:rPr>
      </w:pPr>
    </w:p>
    <w:p w14:paraId="640CB670" w14:textId="56BFD535" w:rsidR="00C82D4C" w:rsidRDefault="00C82D4C" w:rsidP="00D703F8">
      <w:pPr>
        <w:spacing w:after="120"/>
        <w:rPr>
          <w:b/>
          <w:bCs/>
          <w:color w:val="104F75"/>
          <w:sz w:val="32"/>
          <w:szCs w:val="28"/>
        </w:rPr>
      </w:pPr>
    </w:p>
    <w:p w14:paraId="18632906" w14:textId="2F298BB2" w:rsidR="00C82D4C" w:rsidRDefault="00C82D4C" w:rsidP="00D703F8">
      <w:pPr>
        <w:spacing w:after="120"/>
        <w:rPr>
          <w:b/>
          <w:bCs/>
          <w:color w:val="104F75"/>
          <w:sz w:val="32"/>
          <w:szCs w:val="28"/>
        </w:rPr>
      </w:pPr>
    </w:p>
    <w:p w14:paraId="67E0EE33" w14:textId="3B1EFFC2" w:rsidR="00C82D4C" w:rsidRDefault="00C82D4C" w:rsidP="00D703F8">
      <w:pPr>
        <w:spacing w:after="120"/>
        <w:rPr>
          <w:b/>
          <w:bCs/>
          <w:color w:val="104F75"/>
          <w:sz w:val="32"/>
          <w:szCs w:val="28"/>
        </w:rPr>
      </w:pPr>
    </w:p>
    <w:p w14:paraId="2F46782A" w14:textId="3D7CB00F" w:rsidR="00C82D4C" w:rsidRDefault="00C82D4C" w:rsidP="00D703F8">
      <w:pPr>
        <w:spacing w:after="120"/>
        <w:rPr>
          <w:b/>
          <w:bCs/>
          <w:color w:val="104F75"/>
          <w:sz w:val="32"/>
          <w:szCs w:val="28"/>
        </w:rPr>
      </w:pPr>
    </w:p>
    <w:p w14:paraId="737B1041" w14:textId="532B8187" w:rsidR="00C82D4C" w:rsidRDefault="00C82D4C" w:rsidP="00D703F8">
      <w:pPr>
        <w:spacing w:after="120"/>
        <w:rPr>
          <w:b/>
          <w:bCs/>
          <w:color w:val="104F75"/>
          <w:sz w:val="32"/>
          <w:szCs w:val="28"/>
        </w:rPr>
      </w:pPr>
    </w:p>
    <w:p w14:paraId="4714F1E2" w14:textId="09903CC7" w:rsidR="00C82D4C" w:rsidRDefault="00C82D4C" w:rsidP="00D703F8">
      <w:pPr>
        <w:spacing w:after="120"/>
        <w:rPr>
          <w:b/>
          <w:bCs/>
          <w:color w:val="104F75"/>
          <w:sz w:val="32"/>
          <w:szCs w:val="28"/>
        </w:rPr>
      </w:pPr>
    </w:p>
    <w:p w14:paraId="7D785151" w14:textId="0BD48505" w:rsidR="00C82D4C" w:rsidRDefault="00C82D4C" w:rsidP="00D703F8">
      <w:pPr>
        <w:spacing w:after="120"/>
        <w:rPr>
          <w:b/>
          <w:bCs/>
          <w:color w:val="104F75"/>
          <w:sz w:val="32"/>
          <w:szCs w:val="28"/>
        </w:rPr>
      </w:pPr>
    </w:p>
    <w:p w14:paraId="72FFB634" w14:textId="56FDDB3B" w:rsidR="00C82D4C" w:rsidRDefault="00C82D4C" w:rsidP="00D703F8">
      <w:pPr>
        <w:spacing w:after="120"/>
        <w:rPr>
          <w:b/>
          <w:bCs/>
          <w:color w:val="104F75"/>
          <w:sz w:val="32"/>
          <w:szCs w:val="28"/>
        </w:rPr>
      </w:pPr>
    </w:p>
    <w:p w14:paraId="63D04777" w14:textId="485282B0" w:rsidR="00C82D4C" w:rsidRDefault="00C82D4C" w:rsidP="00D703F8">
      <w:pPr>
        <w:spacing w:after="120"/>
        <w:rPr>
          <w:b/>
          <w:bCs/>
          <w:color w:val="104F75"/>
          <w:sz w:val="32"/>
          <w:szCs w:val="28"/>
        </w:rPr>
      </w:pPr>
    </w:p>
    <w:p w14:paraId="206C6757" w14:textId="79C5406E" w:rsidR="00C82D4C" w:rsidRDefault="00C82D4C" w:rsidP="00D703F8">
      <w:pPr>
        <w:spacing w:after="120"/>
        <w:rPr>
          <w:b/>
          <w:bCs/>
          <w:color w:val="104F75"/>
          <w:sz w:val="32"/>
          <w:szCs w:val="28"/>
        </w:rPr>
      </w:pPr>
    </w:p>
    <w:p w14:paraId="1F45B546" w14:textId="77777777" w:rsidR="00C82D4C" w:rsidRDefault="00C82D4C" w:rsidP="00D703F8">
      <w:pPr>
        <w:spacing w:after="120"/>
        <w:rPr>
          <w:b/>
          <w:bCs/>
          <w:color w:val="104F75"/>
          <w:sz w:val="32"/>
          <w:szCs w:val="28"/>
        </w:rPr>
      </w:pPr>
    </w:p>
    <w:p w14:paraId="719A017C" w14:textId="3C37DDCB" w:rsidR="00A739AA" w:rsidRDefault="00A739AA" w:rsidP="00D703F8">
      <w:pPr>
        <w:spacing w:after="120"/>
        <w:rPr>
          <w:b/>
          <w:bCs/>
          <w:color w:val="104F75"/>
          <w:sz w:val="32"/>
          <w:szCs w:val="28"/>
        </w:rPr>
      </w:pPr>
    </w:p>
    <w:p w14:paraId="454AED48" w14:textId="56829EDB" w:rsidR="00F337E6" w:rsidRPr="00F337E6" w:rsidRDefault="00F337E6" w:rsidP="00D703F8">
      <w:pPr>
        <w:spacing w:after="120"/>
        <w:rPr>
          <w:b/>
          <w:bCs/>
          <w:color w:val="104F75"/>
          <w:sz w:val="32"/>
          <w:szCs w:val="28"/>
        </w:rPr>
      </w:pPr>
      <w:r w:rsidRPr="00F337E6">
        <w:rPr>
          <w:b/>
          <w:bCs/>
          <w:color w:val="104F75"/>
          <w:sz w:val="32"/>
          <w:szCs w:val="28"/>
        </w:rPr>
        <w:t>Review of outcomes of Pupil Premium Spending 202</w:t>
      </w:r>
      <w:r w:rsidR="002C3775">
        <w:rPr>
          <w:b/>
          <w:bCs/>
          <w:color w:val="104F75"/>
          <w:sz w:val="32"/>
          <w:szCs w:val="28"/>
        </w:rPr>
        <w:t>3</w:t>
      </w:r>
      <w:r w:rsidRPr="00F337E6">
        <w:rPr>
          <w:b/>
          <w:bCs/>
          <w:color w:val="104F75"/>
          <w:sz w:val="32"/>
          <w:szCs w:val="28"/>
        </w:rPr>
        <w:t>-202</w:t>
      </w:r>
      <w:r w:rsidR="002C3775">
        <w:rPr>
          <w:b/>
          <w:bCs/>
          <w:color w:val="104F75"/>
          <w:sz w:val="32"/>
          <w:szCs w:val="28"/>
        </w:rPr>
        <w:t>4</w:t>
      </w:r>
    </w:p>
    <w:p w14:paraId="45ED3874" w14:textId="24575D41" w:rsidR="00F337E6" w:rsidRDefault="00F337E6" w:rsidP="00F337E6"/>
    <w:tbl>
      <w:tblPr>
        <w:tblW w:w="5000" w:type="pct"/>
        <w:tblLayout w:type="fixed"/>
        <w:tblCellMar>
          <w:left w:w="10" w:type="dxa"/>
          <w:right w:w="10" w:type="dxa"/>
        </w:tblCellMar>
        <w:tblLook w:val="04A0" w:firstRow="1" w:lastRow="0" w:firstColumn="1" w:lastColumn="0" w:noHBand="0" w:noVBand="1"/>
      </w:tblPr>
      <w:tblGrid>
        <w:gridCol w:w="9486"/>
      </w:tblGrid>
      <w:tr w:rsidR="00F337E6" w:rsidRPr="00F337E6" w14:paraId="30FAF401" w14:textId="77777777" w:rsidTr="00B24BA3">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4A7B5ED" w14:textId="46A139CA" w:rsidR="00F337E6" w:rsidRPr="00F337E6" w:rsidRDefault="00F337E6" w:rsidP="00F337E6">
            <w:pPr>
              <w:spacing w:after="100" w:afterAutospacing="1"/>
              <w:rPr>
                <w:b/>
                <w:color w:val="0070C0"/>
              </w:rPr>
            </w:pPr>
            <w:r w:rsidRPr="00F337E6">
              <w:rPr>
                <w:b/>
              </w:rPr>
              <w:t xml:space="preserve">Teaching    </w:t>
            </w:r>
          </w:p>
        </w:tc>
      </w:tr>
      <w:tr w:rsidR="00F337E6" w:rsidRPr="00F337E6" w14:paraId="5940D21A"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66F98F7" w14:textId="69478EF0" w:rsidR="00F337E6" w:rsidRPr="00A739AA" w:rsidRDefault="0072536D" w:rsidP="00F337E6">
            <w:pPr>
              <w:suppressAutoHyphens w:val="0"/>
              <w:autoSpaceDN/>
              <w:spacing w:before="60" w:line="240" w:lineRule="auto"/>
              <w:ind w:left="29" w:right="57"/>
              <w:rPr>
                <w:b/>
                <w:iCs/>
                <w:color w:val="auto"/>
                <w:lang w:val="en-US"/>
              </w:rPr>
            </w:pPr>
            <w:r>
              <w:rPr>
                <w:b/>
                <w:iCs/>
                <w:color w:val="auto"/>
                <w:lang w:val="en-US"/>
              </w:rPr>
              <w:t xml:space="preserve">Oracy: </w:t>
            </w:r>
            <w:r w:rsidR="00F337E6" w:rsidRPr="00A739AA">
              <w:rPr>
                <w:b/>
                <w:iCs/>
                <w:color w:val="auto"/>
                <w:lang w:val="en-US"/>
              </w:rPr>
              <w:t xml:space="preserve">Embedding dialogic activities across the school curriculum. These can support pupils to articulate key ideas, consolidate understanding and extend vocabulary. </w:t>
            </w:r>
          </w:p>
          <w:p w14:paraId="224C03F7" w14:textId="77777777" w:rsidR="00F337E6" w:rsidRPr="00F337E6" w:rsidRDefault="00F337E6" w:rsidP="00F337E6">
            <w:pPr>
              <w:spacing w:before="60" w:after="60" w:line="240" w:lineRule="auto"/>
              <w:ind w:left="57" w:right="57"/>
              <w:rPr>
                <w:color w:val="auto"/>
                <w:sz w:val="22"/>
                <w:szCs w:val="22"/>
              </w:rPr>
            </w:pPr>
            <w:r w:rsidRPr="00A739AA">
              <w:rPr>
                <w:b/>
                <w:color w:val="auto"/>
                <w:szCs w:val="20"/>
              </w:rPr>
              <w:t>We will purchase resources and fund ongoing teacher training and release time.</w:t>
            </w:r>
            <w:r w:rsidRPr="00F337E6">
              <w:rPr>
                <w:color w:val="auto"/>
                <w:szCs w:val="20"/>
              </w:rPr>
              <w:t xml:space="preserve"> </w:t>
            </w:r>
          </w:p>
        </w:tc>
      </w:tr>
      <w:tr w:rsidR="00F337E6" w:rsidRPr="00F337E6" w14:paraId="56DF0547" w14:textId="77777777" w:rsidTr="00A739AA">
        <w:trPr>
          <w:trHeight w:val="3212"/>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91234" w14:textId="77777777" w:rsidR="00F337E6" w:rsidRPr="00A739AA" w:rsidRDefault="00F337E6" w:rsidP="00F337E6">
            <w:pPr>
              <w:spacing w:before="60" w:after="60" w:line="240" w:lineRule="auto"/>
              <w:ind w:left="57" w:right="57"/>
              <w:rPr>
                <w:b/>
                <w:color w:val="auto"/>
                <w:sz w:val="22"/>
                <w:szCs w:val="22"/>
              </w:rPr>
            </w:pPr>
            <w:bookmarkStart w:id="14" w:name="_Hlk113968382"/>
            <w:r w:rsidRPr="00A739AA">
              <w:rPr>
                <w:b/>
                <w:color w:val="auto"/>
                <w:sz w:val="22"/>
                <w:szCs w:val="22"/>
              </w:rPr>
              <w:t>Evidence of Impact:</w:t>
            </w:r>
          </w:p>
          <w:bookmarkEnd w:id="14"/>
          <w:p w14:paraId="0ACC17CE" w14:textId="77777777" w:rsidR="00F337E6" w:rsidRPr="00F337E6" w:rsidRDefault="00F337E6" w:rsidP="00F337E6">
            <w:pPr>
              <w:spacing w:before="60" w:after="60" w:line="240" w:lineRule="auto"/>
              <w:ind w:left="57" w:right="57"/>
              <w:rPr>
                <w:color w:val="auto"/>
                <w:sz w:val="22"/>
                <w:szCs w:val="22"/>
              </w:rPr>
            </w:pPr>
            <w:r w:rsidRPr="00F337E6">
              <w:rPr>
                <w:color w:val="auto"/>
                <w:sz w:val="22"/>
                <w:szCs w:val="22"/>
              </w:rPr>
              <w:t>Teachers have increased knowledge of speech and language difficulties, in particular Developmental language disorder.</w:t>
            </w:r>
          </w:p>
          <w:p w14:paraId="52B9F52E" w14:textId="777BCA98" w:rsidR="00F337E6" w:rsidRPr="00F337E6" w:rsidRDefault="00F337E6" w:rsidP="00F337E6">
            <w:pPr>
              <w:spacing w:before="60" w:after="60" w:line="240" w:lineRule="auto"/>
              <w:ind w:left="57" w:right="57"/>
              <w:rPr>
                <w:color w:val="auto"/>
                <w:sz w:val="22"/>
                <w:szCs w:val="22"/>
              </w:rPr>
            </w:pPr>
            <w:r w:rsidRPr="00F337E6">
              <w:rPr>
                <w:color w:val="auto"/>
                <w:sz w:val="22"/>
                <w:szCs w:val="22"/>
              </w:rPr>
              <w:t xml:space="preserve">Teachers </w:t>
            </w:r>
            <w:r w:rsidR="001574DC">
              <w:rPr>
                <w:color w:val="auto"/>
                <w:sz w:val="22"/>
                <w:szCs w:val="22"/>
              </w:rPr>
              <w:t xml:space="preserve">have a greater </w:t>
            </w:r>
            <w:r w:rsidRPr="00F337E6">
              <w:rPr>
                <w:color w:val="auto"/>
                <w:sz w:val="22"/>
                <w:szCs w:val="22"/>
              </w:rPr>
              <w:t>aware</w:t>
            </w:r>
            <w:r w:rsidR="001574DC">
              <w:rPr>
                <w:color w:val="auto"/>
                <w:sz w:val="22"/>
                <w:szCs w:val="22"/>
              </w:rPr>
              <w:t>ness</w:t>
            </w:r>
            <w:r w:rsidRPr="00F337E6">
              <w:rPr>
                <w:color w:val="auto"/>
                <w:sz w:val="22"/>
                <w:szCs w:val="22"/>
              </w:rPr>
              <w:t xml:space="preserve"> of strategies to support children with speech and language difficulties and can incorporate this into their planning.</w:t>
            </w:r>
          </w:p>
          <w:p w14:paraId="42FFBA28" w14:textId="24300710" w:rsidR="00F337E6" w:rsidRPr="00F337E6" w:rsidRDefault="00F337E6" w:rsidP="00F337E6">
            <w:pPr>
              <w:spacing w:before="60" w:after="60" w:line="240" w:lineRule="auto"/>
              <w:ind w:left="57" w:right="57"/>
              <w:rPr>
                <w:color w:val="auto"/>
                <w:sz w:val="22"/>
                <w:szCs w:val="22"/>
              </w:rPr>
            </w:pPr>
            <w:r w:rsidRPr="00F337E6">
              <w:rPr>
                <w:color w:val="auto"/>
                <w:sz w:val="22"/>
                <w:szCs w:val="22"/>
              </w:rPr>
              <w:t>Teachers are able to identify signs of DLD and refer to the SENCO.</w:t>
            </w:r>
          </w:p>
          <w:p w14:paraId="67955F34" w14:textId="77777777" w:rsidR="00F337E6" w:rsidRPr="00F337E6" w:rsidRDefault="00F337E6" w:rsidP="00F337E6">
            <w:pPr>
              <w:spacing w:before="60" w:after="60" w:line="240" w:lineRule="auto"/>
              <w:ind w:left="57" w:right="57"/>
              <w:rPr>
                <w:color w:val="0D0D0D" w:themeColor="text1" w:themeTint="F2"/>
              </w:rPr>
            </w:pPr>
            <w:r w:rsidRPr="00F337E6">
              <w:rPr>
                <w:color w:val="auto"/>
                <w:sz w:val="22"/>
                <w:szCs w:val="22"/>
              </w:rPr>
              <w:t>Teachers are able to use strategies that support children with DLD as good practise to support all children.</w:t>
            </w:r>
          </w:p>
          <w:p w14:paraId="4C14D93E" w14:textId="17C8D586" w:rsidR="00F337E6" w:rsidRPr="00A739AA" w:rsidRDefault="00F337E6" w:rsidP="00A739AA">
            <w:pPr>
              <w:spacing w:before="60" w:after="60" w:line="240" w:lineRule="auto"/>
              <w:ind w:left="57" w:right="57"/>
              <w:rPr>
                <w:color w:val="0D0D0D" w:themeColor="text1" w:themeTint="F2"/>
              </w:rPr>
            </w:pPr>
            <w:r w:rsidRPr="00F337E6">
              <w:rPr>
                <w:color w:val="auto"/>
                <w:sz w:val="22"/>
                <w:szCs w:val="22"/>
              </w:rPr>
              <w:t xml:space="preserve">Teachers have an increased knowledge of how to specifically teach tier 2 vocabulary. </w:t>
            </w:r>
          </w:p>
        </w:tc>
      </w:tr>
      <w:tr w:rsidR="00F337E6" w:rsidRPr="00F337E6" w14:paraId="69D68F16"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4DA58E6" w14:textId="77777777" w:rsidR="00F337E6" w:rsidRPr="00A739AA" w:rsidRDefault="00F337E6" w:rsidP="00F337E6">
            <w:pPr>
              <w:suppressAutoHyphens w:val="0"/>
              <w:autoSpaceDN/>
              <w:spacing w:before="60" w:after="120" w:line="240" w:lineRule="auto"/>
              <w:ind w:left="29" w:right="57"/>
              <w:rPr>
                <w:rFonts w:cs="Arial"/>
                <w:b/>
                <w:iCs/>
                <w:color w:val="auto"/>
              </w:rPr>
            </w:pPr>
            <w:r w:rsidRPr="00A739AA">
              <w:rPr>
                <w:rFonts w:cs="Arial"/>
                <w:b/>
                <w:iCs/>
                <w:color w:val="auto"/>
              </w:rPr>
              <w:t xml:space="preserve">Purchase of a </w:t>
            </w:r>
            <w:hyperlink r:id="rId20" w:history="1">
              <w:r w:rsidRPr="00A739AA">
                <w:rPr>
                  <w:rFonts w:cs="Arial"/>
                  <w:b/>
                  <w:iCs/>
                  <w:color w:val="0070C0"/>
                  <w:u w:val="single"/>
                </w:rPr>
                <w:t>D</w:t>
              </w:r>
              <w:r w:rsidRPr="00A739AA">
                <w:rPr>
                  <w:b/>
                  <w:color w:val="0070C0"/>
                  <w:u w:val="single"/>
                </w:rPr>
                <w:t xml:space="preserve">fE </w:t>
              </w:r>
              <w:r w:rsidRPr="00A739AA">
                <w:rPr>
                  <w:rFonts w:cs="Arial"/>
                  <w:b/>
                  <w:iCs/>
                  <w:color w:val="0070C0"/>
                  <w:u w:val="single"/>
                </w:rPr>
                <w:t>validated Systematic Synthetic Phonics programme</w:t>
              </w:r>
            </w:hyperlink>
            <w:r w:rsidRPr="00A739AA">
              <w:rPr>
                <w:rFonts w:cs="Arial"/>
                <w:b/>
                <w:iCs/>
                <w:color w:val="auto"/>
              </w:rPr>
              <w:t xml:space="preserve"> (Little Wandle), to secure stronger phonics teaching for all pupils.</w:t>
            </w:r>
          </w:p>
          <w:p w14:paraId="07913CCF" w14:textId="77777777" w:rsidR="00F337E6" w:rsidRPr="00F337E6" w:rsidRDefault="00F337E6" w:rsidP="00F337E6">
            <w:pPr>
              <w:spacing w:before="60" w:after="60" w:line="240" w:lineRule="auto"/>
              <w:ind w:left="57" w:right="57"/>
              <w:rPr>
                <w:color w:val="auto"/>
              </w:rPr>
            </w:pPr>
            <w:r w:rsidRPr="00A739AA">
              <w:rPr>
                <w:rFonts w:cs="Arial"/>
                <w:b/>
                <w:iCs/>
                <w:color w:val="auto"/>
                <w:szCs w:val="20"/>
              </w:rPr>
              <w:t>All staff to receive training in delivering phonics teaching</w:t>
            </w:r>
          </w:p>
        </w:tc>
      </w:tr>
      <w:tr w:rsidR="00F337E6" w:rsidRPr="00F337E6" w14:paraId="4C802929"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C408B" w14:textId="77777777" w:rsidR="00F337E6" w:rsidRPr="00A739AA" w:rsidRDefault="00F337E6" w:rsidP="00F337E6">
            <w:pPr>
              <w:spacing w:before="60" w:after="60" w:line="240" w:lineRule="auto"/>
              <w:ind w:left="57" w:right="57"/>
              <w:rPr>
                <w:b/>
                <w:color w:val="auto"/>
                <w:sz w:val="22"/>
                <w:szCs w:val="22"/>
              </w:rPr>
            </w:pPr>
            <w:r w:rsidRPr="00A739AA">
              <w:rPr>
                <w:b/>
                <w:color w:val="auto"/>
                <w:sz w:val="22"/>
                <w:szCs w:val="22"/>
              </w:rPr>
              <w:t>Evidence of Impact:</w:t>
            </w:r>
          </w:p>
          <w:p w14:paraId="0D84F083" w14:textId="77777777" w:rsidR="00F337E6" w:rsidRPr="00A739AA" w:rsidRDefault="00F337E6" w:rsidP="00F337E6">
            <w:pPr>
              <w:spacing w:before="60" w:after="60" w:line="240" w:lineRule="auto"/>
              <w:ind w:left="57" w:right="57"/>
              <w:rPr>
                <w:color w:val="auto"/>
                <w:szCs w:val="22"/>
              </w:rPr>
            </w:pPr>
            <w:r w:rsidRPr="00A739AA">
              <w:rPr>
                <w:color w:val="auto"/>
                <w:szCs w:val="22"/>
              </w:rPr>
              <w:t>All teaching staff have better understanding of addressing gaps in children’s phonic knowledge and have been able to deliver phase 5 revision lessons.</w:t>
            </w:r>
          </w:p>
          <w:p w14:paraId="400B872A" w14:textId="3ADD44DD" w:rsidR="00F337E6" w:rsidRDefault="00F337E6" w:rsidP="00F337E6">
            <w:pPr>
              <w:spacing w:before="60" w:after="60" w:line="240" w:lineRule="auto"/>
              <w:ind w:left="57" w:right="57"/>
              <w:rPr>
                <w:color w:val="auto"/>
                <w:szCs w:val="22"/>
              </w:rPr>
            </w:pPr>
            <w:r w:rsidRPr="00A739AA">
              <w:rPr>
                <w:color w:val="auto"/>
                <w:szCs w:val="22"/>
              </w:rPr>
              <w:t xml:space="preserve">Teaching Assistants, after accessing training, have delivered daily phonics as well as 3 guided readings lessons a week. All of the pupils </w:t>
            </w:r>
            <w:r w:rsidR="00467DD7">
              <w:rPr>
                <w:color w:val="auto"/>
                <w:szCs w:val="22"/>
              </w:rPr>
              <w:t>made progress in their half-termly assessments</w:t>
            </w:r>
            <w:r w:rsidRPr="00A739AA">
              <w:rPr>
                <w:color w:val="auto"/>
                <w:szCs w:val="22"/>
              </w:rPr>
              <w:t>.</w:t>
            </w:r>
          </w:p>
          <w:p w14:paraId="154D2B3B" w14:textId="2F368568" w:rsidR="00F337E6" w:rsidRPr="00467DD7" w:rsidRDefault="00F337E6" w:rsidP="001574DC">
            <w:pPr>
              <w:pStyle w:val="Default"/>
              <w:numPr>
                <w:ilvl w:val="0"/>
                <w:numId w:val="1"/>
              </w:numPr>
              <w:rPr>
                <w:i/>
                <w:color w:val="auto"/>
              </w:rPr>
            </w:pPr>
          </w:p>
        </w:tc>
      </w:tr>
      <w:tr w:rsidR="00F337E6" w:rsidRPr="00F337E6" w14:paraId="087D56EA"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BB7E29B" w14:textId="77777777" w:rsidR="00F337E6" w:rsidRPr="00A739AA" w:rsidRDefault="00F337E6" w:rsidP="00F337E6">
            <w:pPr>
              <w:numPr>
                <w:ilvl w:val="0"/>
                <w:numId w:val="1"/>
              </w:numPr>
              <w:suppressAutoHyphens w:val="0"/>
              <w:autoSpaceDN/>
              <w:spacing w:before="100" w:beforeAutospacing="1" w:after="0" w:afterAutospacing="1" w:line="240" w:lineRule="auto"/>
              <w:rPr>
                <w:rFonts w:cs="Arial"/>
                <w:b/>
                <w:color w:val="000000"/>
                <w:szCs w:val="22"/>
              </w:rPr>
            </w:pPr>
            <w:r w:rsidRPr="00A739AA">
              <w:rPr>
                <w:rFonts w:cs="Arial"/>
                <w:b/>
                <w:color w:val="000000"/>
                <w:szCs w:val="22"/>
              </w:rPr>
              <w:t>Through training, coaching and mentoring from senior leaders, we will ensure that teachers and staff are confident and have the necessary subject knowledge and pedagogy to deliver high-quality teaching, learning and assessment, including same day catch up sessions.  </w:t>
            </w:r>
          </w:p>
        </w:tc>
      </w:tr>
      <w:tr w:rsidR="00F337E6" w:rsidRPr="00F337E6" w14:paraId="5623370C"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BF333" w14:textId="77777777" w:rsidR="00F337E6" w:rsidRPr="00A739AA" w:rsidRDefault="00F337E6" w:rsidP="00F337E6">
            <w:pPr>
              <w:spacing w:before="60" w:after="60" w:line="240" w:lineRule="auto"/>
              <w:ind w:left="57" w:right="57"/>
              <w:rPr>
                <w:rFonts w:eastAsia="Arial" w:cs="Arial"/>
                <w:b/>
                <w:color w:val="auto"/>
                <w:sz w:val="22"/>
                <w:szCs w:val="22"/>
              </w:rPr>
            </w:pPr>
            <w:r w:rsidRPr="00A739AA">
              <w:rPr>
                <w:rFonts w:eastAsia="Arial" w:cs="Arial"/>
                <w:b/>
                <w:color w:val="auto"/>
                <w:sz w:val="22"/>
                <w:szCs w:val="22"/>
              </w:rPr>
              <w:t>Evidence of Impact:</w:t>
            </w:r>
          </w:p>
          <w:p w14:paraId="6D2DBB19" w14:textId="77777777" w:rsidR="00F337E6" w:rsidRPr="00F337E6" w:rsidRDefault="00F337E6" w:rsidP="00F337E6">
            <w:pPr>
              <w:spacing w:before="60" w:after="60" w:line="240" w:lineRule="auto"/>
              <w:ind w:right="57"/>
              <w:rPr>
                <w:rFonts w:eastAsia="Arial" w:cs="Arial"/>
                <w:color w:val="auto"/>
                <w:szCs w:val="20"/>
              </w:rPr>
            </w:pPr>
            <w:r w:rsidRPr="00F337E6">
              <w:rPr>
                <w:rFonts w:eastAsia="Arial" w:cs="Arial"/>
                <w:color w:val="auto"/>
                <w:szCs w:val="20"/>
              </w:rPr>
              <w:t xml:space="preserve">Teachers have increased understanding of the DfE Primary Guidance and how to use it (evidenced in lesson planning where </w:t>
            </w:r>
            <w:proofErr w:type="spellStart"/>
            <w:r w:rsidRPr="00F337E6">
              <w:rPr>
                <w:rFonts w:eastAsia="Arial" w:cs="Arial"/>
                <w:color w:val="auto"/>
                <w:szCs w:val="20"/>
              </w:rPr>
              <w:t>RtP’s</w:t>
            </w:r>
            <w:proofErr w:type="spellEnd"/>
            <w:r w:rsidRPr="00F337E6">
              <w:rPr>
                <w:rFonts w:eastAsia="Arial" w:cs="Arial"/>
                <w:color w:val="auto"/>
                <w:szCs w:val="20"/>
              </w:rPr>
              <w:t xml:space="preserve"> have been used to assess start points and additional lessons have been added). </w:t>
            </w:r>
          </w:p>
          <w:p w14:paraId="0E6FAA8B" w14:textId="77777777" w:rsidR="00F337E6" w:rsidRPr="00F337E6" w:rsidRDefault="00F337E6" w:rsidP="00F337E6">
            <w:pPr>
              <w:spacing w:before="60" w:after="60" w:line="240" w:lineRule="auto"/>
              <w:ind w:right="57"/>
              <w:rPr>
                <w:rFonts w:eastAsia="Arial" w:cs="Arial"/>
                <w:color w:val="auto"/>
              </w:rPr>
            </w:pPr>
            <w:r w:rsidRPr="00F337E6">
              <w:rPr>
                <w:rFonts w:eastAsia="Arial" w:cs="Arial"/>
                <w:color w:val="auto"/>
              </w:rPr>
              <w:t>Teachers are using the NCETM Assessment Questions to ensure that the pitch of lesson is accurate (evidenced in lesson plans).</w:t>
            </w:r>
          </w:p>
          <w:p w14:paraId="6CEE3EBB" w14:textId="77777777" w:rsidR="00F337E6" w:rsidRPr="00F337E6" w:rsidRDefault="00F337E6" w:rsidP="00F337E6">
            <w:pPr>
              <w:spacing w:before="60" w:after="60" w:line="240" w:lineRule="auto"/>
              <w:ind w:right="57"/>
              <w:rPr>
                <w:rFonts w:eastAsia="Arial" w:cs="Arial"/>
                <w:color w:val="auto"/>
                <w:szCs w:val="20"/>
              </w:rPr>
            </w:pPr>
            <w:r w:rsidRPr="00F337E6">
              <w:rPr>
                <w:rFonts w:eastAsia="Arial" w:cs="Arial"/>
                <w:color w:val="auto"/>
                <w:szCs w:val="20"/>
              </w:rPr>
              <w:t xml:space="preserve">Experienced teachers have a greater understanding of sequencing, representation &amp; structure and variation when planning High Quality lessons (evidenced in lesson planning and feedback from Open Lessons) </w:t>
            </w:r>
          </w:p>
          <w:p w14:paraId="0AE97A88" w14:textId="77777777" w:rsidR="00F337E6" w:rsidRPr="00F337E6" w:rsidRDefault="00F337E6" w:rsidP="00F337E6">
            <w:pPr>
              <w:spacing w:before="60" w:after="60" w:line="240" w:lineRule="auto"/>
              <w:ind w:right="57"/>
              <w:rPr>
                <w:rFonts w:eastAsia="Arial" w:cs="Arial"/>
                <w:color w:val="0D0D0D" w:themeColor="text1" w:themeTint="F2"/>
              </w:rPr>
            </w:pPr>
            <w:r w:rsidRPr="00F337E6">
              <w:rPr>
                <w:rFonts w:eastAsia="Arial" w:cs="Arial"/>
                <w:color w:val="auto"/>
              </w:rPr>
              <w:t>Teachers have a better understanding of how develop the written reasoning of the previous high attaining learner (evidence in pupils maths journals)</w:t>
            </w:r>
          </w:p>
          <w:p w14:paraId="1D09D752" w14:textId="77777777" w:rsidR="00F337E6" w:rsidRDefault="00F337E6" w:rsidP="00F337E6">
            <w:pPr>
              <w:spacing w:before="60" w:after="60" w:line="240" w:lineRule="auto"/>
              <w:ind w:right="57"/>
              <w:rPr>
                <w:rFonts w:eastAsia="Arial" w:cs="Arial"/>
                <w:color w:val="0D0D0D" w:themeColor="text1" w:themeTint="F2"/>
              </w:rPr>
            </w:pPr>
            <w:r w:rsidRPr="00F337E6">
              <w:rPr>
                <w:rFonts w:eastAsia="Arial" w:cs="Arial"/>
                <w:color w:val="0D0D0D" w:themeColor="text1" w:themeTint="F2"/>
              </w:rPr>
              <w:lastRenderedPageBreak/>
              <w:t>New to career teachers have developed subject knowledge through the completion of the NCETM SKTM programme and coaching (evidence in independent lesson planning)</w:t>
            </w:r>
          </w:p>
          <w:tbl>
            <w:tblPr>
              <w:tblW w:w="0" w:type="auto"/>
              <w:tblBorders>
                <w:top w:val="nil"/>
                <w:left w:val="nil"/>
                <w:bottom w:val="nil"/>
                <w:right w:val="nil"/>
              </w:tblBorders>
              <w:tblLayout w:type="fixed"/>
              <w:tblLook w:val="0000" w:firstRow="0" w:lastRow="0" w:firstColumn="0" w:lastColumn="0" w:noHBand="0" w:noVBand="0"/>
            </w:tblPr>
            <w:tblGrid>
              <w:gridCol w:w="9192"/>
            </w:tblGrid>
            <w:tr w:rsidR="002206CA" w:rsidRPr="002206CA" w14:paraId="16C1EE6B" w14:textId="77777777">
              <w:trPr>
                <w:trHeight w:val="261"/>
              </w:trPr>
              <w:tc>
                <w:tcPr>
                  <w:tcW w:w="9192" w:type="dxa"/>
                </w:tcPr>
                <w:p w14:paraId="503184D6" w14:textId="63181603" w:rsidR="0072536D" w:rsidRPr="002206CA" w:rsidRDefault="0072536D" w:rsidP="002206CA">
                  <w:pPr>
                    <w:numPr>
                      <w:ilvl w:val="0"/>
                      <w:numId w:val="1"/>
                    </w:numPr>
                    <w:suppressAutoHyphens w:val="0"/>
                    <w:autoSpaceDE w:val="0"/>
                    <w:adjustRightInd w:val="0"/>
                    <w:spacing w:after="0" w:line="240" w:lineRule="auto"/>
                    <w:rPr>
                      <w:rFonts w:ascii="Tahoma" w:hAnsi="Tahoma" w:cs="Tahoma"/>
                      <w:i/>
                      <w:color w:val="000000"/>
                      <w:sz w:val="23"/>
                      <w:szCs w:val="23"/>
                    </w:rPr>
                  </w:pPr>
                </w:p>
              </w:tc>
            </w:tr>
          </w:tbl>
          <w:p w14:paraId="3A0E6AC7" w14:textId="59A8BA06" w:rsidR="009E4AE3" w:rsidRPr="00F337E6" w:rsidRDefault="009E4AE3" w:rsidP="00F337E6">
            <w:pPr>
              <w:spacing w:before="60" w:after="60" w:line="240" w:lineRule="auto"/>
              <w:ind w:right="57"/>
              <w:rPr>
                <w:rFonts w:eastAsia="Arial" w:cs="Arial"/>
                <w:color w:val="0D0D0D" w:themeColor="text1" w:themeTint="F2"/>
              </w:rPr>
            </w:pPr>
          </w:p>
        </w:tc>
      </w:tr>
      <w:tr w:rsidR="00F337E6" w:rsidRPr="00F337E6" w14:paraId="2D58D60C"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003B0A3" w14:textId="77777777" w:rsidR="00F337E6" w:rsidRPr="00A739AA" w:rsidRDefault="00F337E6" w:rsidP="00A739AA">
            <w:pPr>
              <w:shd w:val="clear" w:color="auto" w:fill="D9D9D9" w:themeFill="background1" w:themeFillShade="D9"/>
              <w:suppressAutoHyphens w:val="0"/>
              <w:autoSpaceDN/>
              <w:spacing w:before="60" w:after="0" w:line="240" w:lineRule="auto"/>
              <w:ind w:left="29"/>
              <w:rPr>
                <w:rFonts w:cs="Arial"/>
                <w:b/>
                <w:iCs/>
                <w:color w:val="auto"/>
                <w:lang w:val="en-US" w:eastAsia="en-US"/>
              </w:rPr>
            </w:pPr>
            <w:r w:rsidRPr="00A739AA">
              <w:rPr>
                <w:rFonts w:cs="Arial"/>
                <w:b/>
                <w:iCs/>
                <w:color w:val="auto"/>
                <w:lang w:val="en-US" w:eastAsia="en-US"/>
              </w:rPr>
              <w:lastRenderedPageBreak/>
              <w:t>Improve the quality of social and emotional (SEL) learning.</w:t>
            </w:r>
          </w:p>
          <w:p w14:paraId="489C188F" w14:textId="77777777" w:rsidR="00F337E6" w:rsidRPr="00A739AA" w:rsidRDefault="00F337E6" w:rsidP="00A739AA">
            <w:pPr>
              <w:shd w:val="clear" w:color="auto" w:fill="D9D9D9" w:themeFill="background1" w:themeFillShade="D9"/>
              <w:suppressAutoHyphens w:val="0"/>
              <w:autoSpaceDN/>
              <w:spacing w:after="0" w:line="240" w:lineRule="auto"/>
              <w:jc w:val="right"/>
              <w:rPr>
                <w:rFonts w:cs="Arial"/>
                <w:b/>
                <w:iCs/>
                <w:color w:val="auto"/>
                <w:lang w:val="en-US" w:eastAsia="en-US"/>
              </w:rPr>
            </w:pPr>
          </w:p>
          <w:p w14:paraId="2766FA65" w14:textId="77777777" w:rsidR="00F337E6" w:rsidRPr="00A739AA" w:rsidRDefault="00F337E6" w:rsidP="00A739AA">
            <w:pPr>
              <w:shd w:val="clear" w:color="auto" w:fill="D9D9D9" w:themeFill="background1" w:themeFillShade="D9"/>
              <w:suppressAutoHyphens w:val="0"/>
              <w:autoSpaceDN/>
              <w:spacing w:line="240" w:lineRule="auto"/>
              <w:rPr>
                <w:rFonts w:cs="Arial"/>
                <w:b/>
                <w:iCs/>
                <w:color w:val="auto"/>
                <w:lang w:val="en-US" w:eastAsia="en-US"/>
              </w:rPr>
            </w:pPr>
            <w:r w:rsidRPr="00A739AA">
              <w:rPr>
                <w:rFonts w:cs="Arial"/>
                <w:b/>
                <w:iCs/>
                <w:color w:val="auto"/>
                <w:lang w:val="en-US" w:eastAsia="en-US"/>
              </w:rPr>
              <w:t>SEL approaches will be embedded into routine educational practices and supported by professional development and training for staff:</w:t>
            </w:r>
          </w:p>
          <w:p w14:paraId="34A0C35E" w14:textId="77777777" w:rsidR="00F337E6" w:rsidRPr="00A739AA" w:rsidRDefault="00F337E6" w:rsidP="00A739AA">
            <w:pPr>
              <w:numPr>
                <w:ilvl w:val="0"/>
                <w:numId w:val="35"/>
              </w:numPr>
              <w:shd w:val="clear" w:color="auto" w:fill="D9D9D9" w:themeFill="background1" w:themeFillShade="D9"/>
              <w:suppressAutoHyphens w:val="0"/>
              <w:autoSpaceDN/>
              <w:spacing w:line="240" w:lineRule="auto"/>
              <w:contextualSpacing/>
              <w:rPr>
                <w:rFonts w:cs="Arial"/>
                <w:b/>
                <w:iCs/>
                <w:color w:val="auto"/>
                <w:lang w:val="en-US" w:eastAsia="en-US"/>
              </w:rPr>
            </w:pPr>
            <w:r w:rsidRPr="00A739AA">
              <w:rPr>
                <w:rFonts w:cs="Arial"/>
                <w:b/>
                <w:iCs/>
                <w:color w:val="auto"/>
                <w:lang w:val="en-US" w:eastAsia="en-US"/>
              </w:rPr>
              <w:t>Senior learning mentor to receive training to become ELSA (Emotional literacy support assistant)</w:t>
            </w:r>
          </w:p>
          <w:p w14:paraId="1673BC5A" w14:textId="77777777" w:rsidR="00F337E6" w:rsidRPr="00A739AA" w:rsidRDefault="00F337E6" w:rsidP="00A739AA">
            <w:pPr>
              <w:numPr>
                <w:ilvl w:val="0"/>
                <w:numId w:val="35"/>
              </w:numPr>
              <w:shd w:val="clear" w:color="auto" w:fill="D9D9D9" w:themeFill="background1" w:themeFillShade="D9"/>
              <w:suppressAutoHyphens w:val="0"/>
              <w:autoSpaceDN/>
              <w:spacing w:line="240" w:lineRule="auto"/>
              <w:contextualSpacing/>
              <w:rPr>
                <w:rFonts w:cs="Arial"/>
                <w:b/>
                <w:iCs/>
                <w:color w:val="auto"/>
                <w:lang w:val="en-US" w:eastAsia="en-US"/>
              </w:rPr>
            </w:pPr>
            <w:r w:rsidRPr="00A739AA">
              <w:rPr>
                <w:rFonts w:cs="Arial"/>
                <w:b/>
                <w:iCs/>
                <w:color w:val="auto"/>
                <w:lang w:val="en-US" w:eastAsia="en-US"/>
              </w:rPr>
              <w:t>ELSA to deliver whole-school training and provide resources to support SEL</w:t>
            </w:r>
          </w:p>
          <w:p w14:paraId="710D7BF2" w14:textId="77777777" w:rsidR="00F337E6" w:rsidRPr="00F337E6" w:rsidRDefault="00F337E6" w:rsidP="00A739AA">
            <w:pPr>
              <w:shd w:val="clear" w:color="auto" w:fill="D9D9D9" w:themeFill="background1" w:themeFillShade="D9"/>
              <w:spacing w:before="60" w:after="60" w:line="240" w:lineRule="auto"/>
              <w:ind w:right="57"/>
              <w:rPr>
                <w:color w:val="auto"/>
                <w:highlight w:val="yellow"/>
              </w:rPr>
            </w:pPr>
            <w:r w:rsidRPr="00A739AA">
              <w:rPr>
                <w:rFonts w:cs="Arial"/>
                <w:b/>
                <w:iCs/>
                <w:color w:val="auto"/>
                <w:szCs w:val="20"/>
                <w:lang w:val="en-US" w:eastAsia="en-US"/>
              </w:rPr>
              <w:t>ELSA to receive supervision</w:t>
            </w:r>
          </w:p>
        </w:tc>
      </w:tr>
      <w:tr w:rsidR="00F337E6" w:rsidRPr="00F337E6" w14:paraId="27F2F1F1"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49D3" w14:textId="77777777" w:rsidR="00F337E6" w:rsidRPr="00A739AA" w:rsidRDefault="00F337E6" w:rsidP="00F337E6">
            <w:pPr>
              <w:spacing w:before="60" w:after="60" w:line="240" w:lineRule="auto"/>
              <w:ind w:left="57" w:right="57"/>
              <w:rPr>
                <w:b/>
                <w:color w:val="auto"/>
                <w:sz w:val="22"/>
                <w:szCs w:val="22"/>
              </w:rPr>
            </w:pPr>
            <w:r w:rsidRPr="00A739AA">
              <w:rPr>
                <w:b/>
                <w:color w:val="auto"/>
                <w:sz w:val="22"/>
                <w:szCs w:val="22"/>
              </w:rPr>
              <w:t>Evidence of Impact:</w:t>
            </w:r>
          </w:p>
          <w:p w14:paraId="72D4F7B8" w14:textId="77777777" w:rsidR="00F337E6" w:rsidRPr="00F337E6" w:rsidRDefault="00F337E6" w:rsidP="00F337E6">
            <w:pPr>
              <w:spacing w:before="60" w:after="60" w:line="240" w:lineRule="auto"/>
              <w:ind w:left="57" w:right="57"/>
              <w:rPr>
                <w:color w:val="auto"/>
                <w:sz w:val="22"/>
                <w:szCs w:val="22"/>
              </w:rPr>
            </w:pPr>
            <w:r w:rsidRPr="00F337E6">
              <w:rPr>
                <w:color w:val="auto"/>
                <w:sz w:val="22"/>
                <w:szCs w:val="22"/>
              </w:rPr>
              <w:t>Senior learning mentor completed ELSA training. Pupils were identified across school who would benefit from Emotional literacy support. This included supporting with bereavement, friendships, trauma and regulated emotions, self-harm and suicidal thoughts.</w:t>
            </w:r>
          </w:p>
          <w:p w14:paraId="6F304667" w14:textId="77777777" w:rsidR="00F337E6" w:rsidRPr="00F337E6" w:rsidRDefault="00F337E6" w:rsidP="00F337E6">
            <w:pPr>
              <w:spacing w:before="60" w:after="60" w:line="240" w:lineRule="auto"/>
              <w:ind w:left="57" w:right="57"/>
              <w:rPr>
                <w:color w:val="0D0D0D" w:themeColor="text1" w:themeTint="F2"/>
              </w:rPr>
            </w:pPr>
            <w:r w:rsidRPr="00F337E6">
              <w:rPr>
                <w:color w:val="auto"/>
                <w:sz w:val="22"/>
                <w:szCs w:val="22"/>
              </w:rPr>
              <w:t xml:space="preserve">8 children support with regulating emotions, 3 with self-harm, 1 with suicidal thoughts, 3 bereavements, 12 </w:t>
            </w:r>
            <w:proofErr w:type="gramStart"/>
            <w:r w:rsidRPr="00F337E6">
              <w:rPr>
                <w:color w:val="auto"/>
                <w:sz w:val="22"/>
                <w:szCs w:val="22"/>
              </w:rPr>
              <w:t>trauma</w:t>
            </w:r>
            <w:proofErr w:type="gramEnd"/>
            <w:r w:rsidRPr="00F337E6">
              <w:rPr>
                <w:color w:val="auto"/>
                <w:sz w:val="22"/>
                <w:szCs w:val="22"/>
              </w:rPr>
              <w:t>. All made progress on Boxall profiling, with support children were able to understand self-harm and keep themselves safe.</w:t>
            </w:r>
          </w:p>
          <w:p w14:paraId="2A09C14D" w14:textId="77777777" w:rsidR="00F337E6" w:rsidRPr="00F337E6" w:rsidRDefault="00F337E6" w:rsidP="00F337E6">
            <w:pPr>
              <w:spacing w:before="60" w:after="60" w:line="240" w:lineRule="auto"/>
              <w:ind w:left="57" w:right="57"/>
              <w:rPr>
                <w:color w:val="auto"/>
                <w:sz w:val="22"/>
                <w:szCs w:val="22"/>
              </w:rPr>
            </w:pPr>
            <w:r w:rsidRPr="00F337E6">
              <w:rPr>
                <w:color w:val="auto"/>
                <w:sz w:val="22"/>
                <w:szCs w:val="22"/>
              </w:rPr>
              <w:t>Whole school training delivered around zones of regulation; this is being used within classrooms and supporting children to identify and self-regulate emotions.</w:t>
            </w:r>
          </w:p>
          <w:p w14:paraId="53495F65" w14:textId="77777777" w:rsidR="00F337E6" w:rsidRPr="00F337E6" w:rsidRDefault="00F337E6" w:rsidP="00F337E6">
            <w:pPr>
              <w:spacing w:before="60" w:after="60" w:line="240" w:lineRule="auto"/>
              <w:ind w:left="57" w:right="57"/>
              <w:rPr>
                <w:color w:val="0D0D0D" w:themeColor="text1" w:themeTint="F2"/>
              </w:rPr>
            </w:pPr>
            <w:r w:rsidRPr="00F337E6">
              <w:rPr>
                <w:color w:val="auto"/>
                <w:sz w:val="22"/>
                <w:szCs w:val="22"/>
              </w:rPr>
              <w:t>Training and modelling for learning mentors has enables them to be able to support successfully in classrooms, using ELSA strategies. They are now able to model and support teachers.</w:t>
            </w:r>
          </w:p>
          <w:p w14:paraId="40DD76EA" w14:textId="77777777" w:rsidR="00F337E6" w:rsidRPr="00F337E6" w:rsidRDefault="00F337E6" w:rsidP="00F337E6">
            <w:pPr>
              <w:spacing w:before="60" w:after="60" w:line="240" w:lineRule="auto"/>
              <w:ind w:left="57" w:right="57"/>
              <w:rPr>
                <w:color w:val="0D0D0D" w:themeColor="text1" w:themeTint="F2"/>
              </w:rPr>
            </w:pPr>
            <w:r w:rsidRPr="00F337E6">
              <w:rPr>
                <w:color w:val="auto"/>
                <w:sz w:val="22"/>
                <w:szCs w:val="22"/>
              </w:rPr>
              <w:t>Training delivered through conversations with staff around supporting children with emotions empowers staff to successful manage behaviour.</w:t>
            </w:r>
          </w:p>
          <w:p w14:paraId="0B27C4F4" w14:textId="77777777" w:rsidR="00F337E6" w:rsidRPr="00F337E6" w:rsidRDefault="00F337E6" w:rsidP="00F337E6">
            <w:pPr>
              <w:spacing w:before="60" w:after="60" w:line="240" w:lineRule="auto"/>
              <w:ind w:left="57" w:right="57"/>
              <w:rPr>
                <w:color w:val="auto"/>
                <w:sz w:val="22"/>
                <w:szCs w:val="22"/>
              </w:rPr>
            </w:pPr>
            <w:r w:rsidRPr="00F337E6">
              <w:rPr>
                <w:color w:val="auto"/>
                <w:sz w:val="22"/>
                <w:szCs w:val="22"/>
              </w:rPr>
              <w:t xml:space="preserve">Supervision completed and ongoing- networking, sharing resources, opportunity to discuss strategies with other professionals on anonymised caseloads. This can then be used to support children within our setting. </w:t>
            </w:r>
          </w:p>
          <w:p w14:paraId="0FBB853B" w14:textId="38F570D1" w:rsidR="009E4AE3" w:rsidRPr="009E4AE3" w:rsidRDefault="009E4AE3" w:rsidP="001574DC">
            <w:pPr>
              <w:spacing w:before="60" w:after="60" w:line="240" w:lineRule="auto"/>
              <w:ind w:right="57"/>
              <w:rPr>
                <w:i/>
                <w:color w:val="0D0D0D" w:themeColor="text1" w:themeTint="F2"/>
              </w:rPr>
            </w:pPr>
          </w:p>
        </w:tc>
      </w:tr>
    </w:tbl>
    <w:p w14:paraId="0CE8D19E" w14:textId="5ABE60FB" w:rsidR="00F337E6" w:rsidRDefault="00F337E6" w:rsidP="00D703F8">
      <w:pPr>
        <w:spacing w:after="120"/>
        <w:rPr>
          <w:b/>
          <w:bCs/>
          <w:color w:val="104F75"/>
          <w:sz w:val="28"/>
          <w:szCs w:val="28"/>
        </w:rPr>
      </w:pPr>
    </w:p>
    <w:p w14:paraId="549B5B11" w14:textId="77777777" w:rsidR="00F337E6" w:rsidRPr="00F337E6" w:rsidRDefault="00F337E6" w:rsidP="00D703F8">
      <w:pPr>
        <w:spacing w:after="120"/>
        <w:rPr>
          <w:b/>
          <w:bCs/>
          <w:color w:val="104F75"/>
          <w:sz w:val="28"/>
          <w:szCs w:val="28"/>
        </w:rPr>
      </w:pPr>
    </w:p>
    <w:tbl>
      <w:tblPr>
        <w:tblW w:w="5000" w:type="pct"/>
        <w:tblLayout w:type="fixed"/>
        <w:tblCellMar>
          <w:left w:w="10" w:type="dxa"/>
          <w:right w:w="10" w:type="dxa"/>
        </w:tblCellMar>
        <w:tblLook w:val="04A0" w:firstRow="1" w:lastRow="0" w:firstColumn="1" w:lastColumn="0" w:noHBand="0" w:noVBand="1"/>
      </w:tblPr>
      <w:tblGrid>
        <w:gridCol w:w="9486"/>
      </w:tblGrid>
      <w:tr w:rsidR="00F337E6" w:rsidRPr="00F337E6" w14:paraId="3B448A15" w14:textId="77777777" w:rsidTr="00B24BA3">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2B1D4FB" w14:textId="3AF5C656" w:rsidR="00F337E6" w:rsidRPr="00F337E6" w:rsidRDefault="00F337E6" w:rsidP="00B24BA3">
            <w:pPr>
              <w:contextualSpacing/>
              <w:rPr>
                <w:b/>
              </w:rPr>
            </w:pPr>
            <w:r w:rsidRPr="00F337E6">
              <w:rPr>
                <w:b/>
                <w:bCs/>
                <w:color w:val="auto"/>
                <w:szCs w:val="28"/>
              </w:rPr>
              <w:t xml:space="preserve">Targeted academic support </w:t>
            </w:r>
          </w:p>
        </w:tc>
      </w:tr>
      <w:tr w:rsidR="00F337E6" w:rsidRPr="00295351" w14:paraId="38C541C4"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F722CDB" w14:textId="77777777" w:rsidR="00F337E6" w:rsidRPr="00A739AA" w:rsidRDefault="00F337E6" w:rsidP="00A739AA">
            <w:pPr>
              <w:pStyle w:val="TableRow"/>
              <w:shd w:val="clear" w:color="auto" w:fill="D9D9D9" w:themeFill="background1" w:themeFillShade="D9"/>
              <w:spacing w:after="120"/>
              <w:ind w:left="0"/>
              <w:rPr>
                <w:rFonts w:cs="Arial"/>
                <w:b/>
                <w:color w:val="auto"/>
                <w:lang w:val="en-US"/>
              </w:rPr>
            </w:pPr>
            <w:r w:rsidRPr="00A739AA">
              <w:rPr>
                <w:rFonts w:cs="Arial"/>
                <w:b/>
                <w:color w:val="auto"/>
                <w:lang w:val="en-US"/>
              </w:rPr>
              <w:t>SALT Specialist to provide ½ day support each week.</w:t>
            </w:r>
          </w:p>
          <w:p w14:paraId="6A2FB69B" w14:textId="77777777" w:rsidR="00F337E6" w:rsidRPr="00A739AA" w:rsidRDefault="00F337E6" w:rsidP="00A739AA">
            <w:pPr>
              <w:pStyle w:val="TableRow"/>
              <w:shd w:val="clear" w:color="auto" w:fill="D9D9D9" w:themeFill="background1" w:themeFillShade="D9"/>
              <w:spacing w:after="120"/>
              <w:rPr>
                <w:rFonts w:cs="Arial"/>
                <w:b/>
                <w:color w:val="auto"/>
                <w:lang w:val="en-US"/>
              </w:rPr>
            </w:pPr>
            <w:r w:rsidRPr="00A739AA">
              <w:rPr>
                <w:rFonts w:cs="Arial"/>
                <w:b/>
                <w:color w:val="auto"/>
                <w:lang w:val="en-US"/>
              </w:rPr>
              <w:t>Trained teaching assistant to provide wider SALT interventions across the school every afternoon</w:t>
            </w:r>
          </w:p>
          <w:p w14:paraId="437D4B79" w14:textId="77777777" w:rsidR="00F337E6" w:rsidRPr="00295351" w:rsidRDefault="00F337E6" w:rsidP="00A739AA">
            <w:pPr>
              <w:pStyle w:val="TableRowCentered"/>
              <w:ind w:left="0"/>
              <w:jc w:val="right"/>
              <w:rPr>
                <w:color w:val="auto"/>
                <w:szCs w:val="22"/>
              </w:rPr>
            </w:pPr>
          </w:p>
        </w:tc>
      </w:tr>
      <w:tr w:rsidR="00F337E6" w:rsidRPr="00295351" w14:paraId="7D3EA033"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8C9C2" w14:textId="77777777" w:rsidR="00F337E6" w:rsidRPr="00A739AA" w:rsidRDefault="00F337E6" w:rsidP="00B24BA3">
            <w:pPr>
              <w:pStyle w:val="TableRowCentered"/>
              <w:jc w:val="left"/>
              <w:rPr>
                <w:b/>
                <w:color w:val="auto"/>
                <w:sz w:val="22"/>
                <w:szCs w:val="22"/>
              </w:rPr>
            </w:pPr>
            <w:r w:rsidRPr="00A739AA">
              <w:rPr>
                <w:b/>
                <w:color w:val="auto"/>
                <w:sz w:val="22"/>
                <w:szCs w:val="22"/>
              </w:rPr>
              <w:t>Evidence of Impact:</w:t>
            </w:r>
          </w:p>
          <w:p w14:paraId="6EE0CAE0" w14:textId="77777777" w:rsidR="00F337E6" w:rsidRDefault="00F337E6" w:rsidP="00B24BA3">
            <w:pPr>
              <w:pStyle w:val="TableRowCentered"/>
              <w:ind w:left="0"/>
              <w:jc w:val="left"/>
              <w:rPr>
                <w:color w:val="000000" w:themeColor="text1"/>
                <w:szCs w:val="24"/>
              </w:rPr>
            </w:pPr>
            <w:r w:rsidRPr="60273EDF">
              <w:rPr>
                <w:color w:val="auto"/>
                <w:sz w:val="22"/>
                <w:szCs w:val="22"/>
              </w:rPr>
              <w:t>Assessments show children achieving their SALT targets. Increased amount of NHS referrals which promotes joint working between health and school. Salt interventions provide evidence for these referrals.</w:t>
            </w:r>
          </w:p>
          <w:p w14:paraId="40D3E472" w14:textId="77777777" w:rsidR="00F337E6" w:rsidRDefault="00F337E6" w:rsidP="00B24BA3">
            <w:pPr>
              <w:pStyle w:val="TableRowCentered"/>
              <w:spacing w:line="259" w:lineRule="auto"/>
              <w:ind w:left="0"/>
              <w:jc w:val="left"/>
              <w:rPr>
                <w:color w:val="0D0D0D" w:themeColor="text1" w:themeTint="F2"/>
                <w:szCs w:val="24"/>
              </w:rPr>
            </w:pPr>
            <w:r w:rsidRPr="216F7F31">
              <w:rPr>
                <w:color w:val="auto"/>
                <w:sz w:val="22"/>
                <w:szCs w:val="22"/>
              </w:rPr>
              <w:t xml:space="preserve">SALT specialist and TA build evidence when applying for SSPP and EHCP to further support children. SSPP and EHCP applications all successful. This ensures funding is in place for children to have access to the support needed to achieve. </w:t>
            </w:r>
          </w:p>
          <w:p w14:paraId="1BEFB791" w14:textId="77777777" w:rsidR="00F337E6" w:rsidRDefault="00F337E6" w:rsidP="00B24BA3">
            <w:pPr>
              <w:pStyle w:val="TableRowCentered"/>
              <w:ind w:left="0"/>
              <w:jc w:val="left"/>
              <w:rPr>
                <w:color w:val="0D0D0D" w:themeColor="text1" w:themeTint="F2"/>
                <w:szCs w:val="24"/>
              </w:rPr>
            </w:pPr>
            <w:r w:rsidRPr="216F7F31">
              <w:rPr>
                <w:color w:val="auto"/>
                <w:sz w:val="22"/>
                <w:szCs w:val="22"/>
              </w:rPr>
              <w:t xml:space="preserve">SALT specialist has worked 1:1 with teachers to develop their knowledge and skill to support children in their class. </w:t>
            </w:r>
          </w:p>
          <w:p w14:paraId="5661FA75" w14:textId="77777777" w:rsidR="00F337E6" w:rsidRDefault="00F337E6" w:rsidP="00B24BA3">
            <w:pPr>
              <w:pStyle w:val="TableRowCentered"/>
              <w:ind w:left="0"/>
              <w:jc w:val="left"/>
              <w:rPr>
                <w:color w:val="auto"/>
                <w:sz w:val="22"/>
                <w:szCs w:val="22"/>
              </w:rPr>
            </w:pPr>
            <w:r w:rsidRPr="60273EDF">
              <w:rPr>
                <w:color w:val="auto"/>
                <w:sz w:val="22"/>
                <w:szCs w:val="22"/>
              </w:rPr>
              <w:lastRenderedPageBreak/>
              <w:t xml:space="preserve">Transition groups for year 6 pupils with DLD allowed for a successful transition to secondary for SEN pupils. This intervention improved children’s mental health as they were able to understand their diagnosis and develop strategies to support themselves. </w:t>
            </w:r>
          </w:p>
          <w:p w14:paraId="2A78F43D" w14:textId="77777777" w:rsidR="00F337E6" w:rsidRPr="00295351" w:rsidRDefault="00F337E6" w:rsidP="009E4AE3">
            <w:pPr>
              <w:pStyle w:val="TableRowCentered"/>
              <w:ind w:left="0"/>
              <w:jc w:val="left"/>
              <w:rPr>
                <w:color w:val="auto"/>
                <w:szCs w:val="22"/>
              </w:rPr>
            </w:pPr>
          </w:p>
        </w:tc>
      </w:tr>
      <w:tr w:rsidR="00F337E6" w:rsidRPr="00295351" w14:paraId="7101D1A5"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694AEC6" w14:textId="77777777" w:rsidR="00F337E6" w:rsidRPr="00A739AA" w:rsidRDefault="00F337E6" w:rsidP="00B24BA3">
            <w:pPr>
              <w:pStyle w:val="TableRowCentered"/>
              <w:jc w:val="left"/>
              <w:rPr>
                <w:b/>
                <w:color w:val="auto"/>
                <w:szCs w:val="22"/>
              </w:rPr>
            </w:pPr>
            <w:r w:rsidRPr="00A739AA">
              <w:rPr>
                <w:rFonts w:cs="Arial"/>
                <w:b/>
                <w:color w:val="auto"/>
                <w:lang w:val="en-US"/>
              </w:rPr>
              <w:lastRenderedPageBreak/>
              <w:t xml:space="preserve">Standards Teachers and additional teaching assistants to deliver </w:t>
            </w:r>
            <w:r w:rsidRPr="00A739AA">
              <w:rPr>
                <w:rFonts w:cs="Arial"/>
                <w:b/>
                <w:iCs/>
                <w:color w:val="auto"/>
                <w:lang w:val="en-US"/>
              </w:rPr>
              <w:t>School-led tutoring for pupils whose education has been most impacted by the pandemic. A significant proportion of the pupils who receive tutoring will be disadvantaged, including those who are high attainers.</w:t>
            </w:r>
          </w:p>
        </w:tc>
      </w:tr>
      <w:tr w:rsidR="00F337E6" w14:paraId="1D9450B1"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15D0D" w14:textId="1C978109" w:rsidR="00B24BA3" w:rsidRPr="001574DC" w:rsidRDefault="00B24BA3" w:rsidP="00B24BA3">
            <w:pPr>
              <w:jc w:val="center"/>
              <w:rPr>
                <w:b/>
                <w:sz w:val="28"/>
              </w:rPr>
            </w:pPr>
            <w:r w:rsidRPr="001574DC">
              <w:rPr>
                <w:b/>
                <w:sz w:val="28"/>
              </w:rPr>
              <w:t>Disadvantaged Attainment Difference 2023 – 2024</w:t>
            </w:r>
          </w:p>
          <w:p w14:paraId="613BBBD9" w14:textId="77777777" w:rsidR="00B24BA3" w:rsidRPr="008B738E" w:rsidRDefault="00B24BA3" w:rsidP="00B24BA3">
            <w:pPr>
              <w:pStyle w:val="ListParagraph"/>
              <w:numPr>
                <w:ilvl w:val="0"/>
                <w:numId w:val="44"/>
              </w:numPr>
              <w:suppressAutoHyphens w:val="0"/>
              <w:autoSpaceDN/>
              <w:spacing w:after="0" w:line="259" w:lineRule="auto"/>
            </w:pPr>
            <w:r w:rsidRPr="008B738E">
              <w:t>44% of the year 6 cohort were disadvantaged</w:t>
            </w:r>
          </w:p>
          <w:p w14:paraId="4BA2650C" w14:textId="77777777" w:rsidR="00B24BA3" w:rsidRPr="008B738E" w:rsidRDefault="00B24BA3" w:rsidP="00B24BA3">
            <w:pPr>
              <w:pStyle w:val="ListParagraph"/>
              <w:numPr>
                <w:ilvl w:val="0"/>
                <w:numId w:val="44"/>
              </w:numPr>
              <w:suppressAutoHyphens w:val="0"/>
              <w:autoSpaceDN/>
              <w:spacing w:after="0" w:line="259" w:lineRule="auto"/>
            </w:pPr>
            <w:r w:rsidRPr="008B738E">
              <w:t xml:space="preserve">Of the 42 disadvantaged children 13 were SEN (31%) </w:t>
            </w:r>
          </w:p>
          <w:p w14:paraId="300B68CF" w14:textId="77777777" w:rsidR="00B24BA3" w:rsidRPr="0051792E" w:rsidRDefault="00B24BA3" w:rsidP="00B24BA3">
            <w:pPr>
              <w:pStyle w:val="ListParagraph"/>
              <w:numPr>
                <w:ilvl w:val="0"/>
                <w:numId w:val="44"/>
              </w:numPr>
              <w:suppressAutoHyphens w:val="0"/>
              <w:autoSpaceDN/>
              <w:spacing w:after="0" w:line="259" w:lineRule="auto"/>
            </w:pPr>
            <w:r w:rsidRPr="0051792E">
              <w:t xml:space="preserve">The correlation between SEN and disadvantaged is highlighted by the reduction in the gap between the disadvantaged and the others when the SEN are removed. </w:t>
            </w:r>
          </w:p>
          <w:p w14:paraId="73A62978" w14:textId="77777777" w:rsidR="001B05D5" w:rsidRPr="008726E2" w:rsidRDefault="001B05D5" w:rsidP="008726E2">
            <w:pPr>
              <w:spacing w:after="0"/>
              <w:rPr>
                <w:b/>
                <w:sz w:val="32"/>
              </w:rPr>
            </w:pPr>
          </w:p>
          <w:p w14:paraId="1E307208" w14:textId="77777777" w:rsidR="001B05D5" w:rsidRDefault="001B05D5" w:rsidP="00B24BA3">
            <w:pPr>
              <w:pStyle w:val="ListParagraph"/>
              <w:numPr>
                <w:ilvl w:val="0"/>
                <w:numId w:val="0"/>
              </w:numPr>
              <w:spacing w:after="0"/>
              <w:ind w:left="720"/>
              <w:rPr>
                <w:b/>
                <w:sz w:val="32"/>
              </w:rPr>
            </w:pPr>
          </w:p>
          <w:p w14:paraId="40C092CF" w14:textId="4891D8A1" w:rsidR="00B24BA3" w:rsidRPr="00B24BA3" w:rsidRDefault="001B05D5" w:rsidP="00B24BA3">
            <w:pPr>
              <w:pStyle w:val="ListParagraph"/>
              <w:numPr>
                <w:ilvl w:val="0"/>
                <w:numId w:val="0"/>
              </w:numPr>
              <w:spacing w:after="0"/>
              <w:ind w:left="720"/>
              <w:rPr>
                <w:b/>
                <w:sz w:val="32"/>
              </w:rPr>
            </w:pPr>
            <w:r>
              <w:rPr>
                <w:b/>
                <w:sz w:val="32"/>
              </w:rPr>
              <w:t>Maths</w:t>
            </w:r>
          </w:p>
          <w:tbl>
            <w:tblPr>
              <w:tblStyle w:val="TableGrid1"/>
              <w:tblW w:w="8737" w:type="dxa"/>
              <w:tblInd w:w="279" w:type="dxa"/>
              <w:tblLayout w:type="fixed"/>
              <w:tblLook w:val="04A0" w:firstRow="1" w:lastRow="0" w:firstColumn="1" w:lastColumn="0" w:noHBand="0" w:noVBand="1"/>
            </w:tblPr>
            <w:tblGrid>
              <w:gridCol w:w="1719"/>
              <w:gridCol w:w="1523"/>
              <w:gridCol w:w="851"/>
              <w:gridCol w:w="1135"/>
              <w:gridCol w:w="1523"/>
              <w:gridCol w:w="851"/>
              <w:gridCol w:w="1135"/>
            </w:tblGrid>
            <w:tr w:rsidR="00B24BA3" w:rsidRPr="008B738E" w14:paraId="596E8E62" w14:textId="77777777" w:rsidTr="00B24BA3">
              <w:tc>
                <w:tcPr>
                  <w:tcW w:w="1719" w:type="dxa"/>
                  <w:tcBorders>
                    <w:bottom w:val="single" w:sz="4" w:space="0" w:color="auto"/>
                  </w:tcBorders>
                  <w:shd w:val="clear" w:color="auto" w:fill="F2F2F2" w:themeFill="background1" w:themeFillShade="F2"/>
                </w:tcPr>
                <w:p w14:paraId="36CCDF39" w14:textId="77777777" w:rsidR="00B24BA3" w:rsidRPr="008B738E" w:rsidRDefault="00B24BA3" w:rsidP="00B24BA3">
                  <w:pPr>
                    <w:jc w:val="center"/>
                    <w:rPr>
                      <w:b/>
                    </w:rPr>
                  </w:pPr>
                </w:p>
              </w:tc>
              <w:tc>
                <w:tcPr>
                  <w:tcW w:w="3509" w:type="dxa"/>
                  <w:gridSpan w:val="3"/>
                  <w:shd w:val="clear" w:color="auto" w:fill="F2F2F2" w:themeFill="background1" w:themeFillShade="F2"/>
                </w:tcPr>
                <w:p w14:paraId="6C9C673E" w14:textId="77777777" w:rsidR="00B24BA3" w:rsidRPr="0051792E" w:rsidRDefault="00B24BA3" w:rsidP="00B24BA3">
                  <w:pPr>
                    <w:jc w:val="center"/>
                    <w:rPr>
                      <w:b/>
                    </w:rPr>
                  </w:pPr>
                  <w:r w:rsidRPr="0051792E">
                    <w:rPr>
                      <w:b/>
                    </w:rPr>
                    <w:t>At Expected Standard</w:t>
                  </w:r>
                </w:p>
              </w:tc>
              <w:tc>
                <w:tcPr>
                  <w:tcW w:w="3509" w:type="dxa"/>
                  <w:gridSpan w:val="3"/>
                  <w:shd w:val="clear" w:color="auto" w:fill="F2F2F2" w:themeFill="background1" w:themeFillShade="F2"/>
                </w:tcPr>
                <w:p w14:paraId="4731B80C" w14:textId="77777777" w:rsidR="00B24BA3" w:rsidRPr="0051792E" w:rsidRDefault="00B24BA3" w:rsidP="00B24BA3">
                  <w:pPr>
                    <w:jc w:val="center"/>
                    <w:rPr>
                      <w:b/>
                    </w:rPr>
                  </w:pPr>
                  <w:r w:rsidRPr="0051792E">
                    <w:rPr>
                      <w:b/>
                    </w:rPr>
                    <w:t>At the Higher Standard</w:t>
                  </w:r>
                </w:p>
              </w:tc>
            </w:tr>
            <w:tr w:rsidR="00B24BA3" w:rsidRPr="008B738E" w14:paraId="7840C648" w14:textId="77777777" w:rsidTr="00B24BA3">
              <w:tc>
                <w:tcPr>
                  <w:tcW w:w="1719" w:type="dxa"/>
                  <w:tcBorders>
                    <w:bottom w:val="single" w:sz="4" w:space="0" w:color="auto"/>
                  </w:tcBorders>
                  <w:shd w:val="clear" w:color="auto" w:fill="F2F2F2" w:themeFill="background1" w:themeFillShade="F2"/>
                </w:tcPr>
                <w:p w14:paraId="01592045" w14:textId="77777777" w:rsidR="00B24BA3" w:rsidRPr="008B738E" w:rsidRDefault="00B24BA3" w:rsidP="00B24BA3">
                  <w:pPr>
                    <w:jc w:val="center"/>
                    <w:rPr>
                      <w:b/>
                    </w:rPr>
                  </w:pPr>
                </w:p>
              </w:tc>
              <w:tc>
                <w:tcPr>
                  <w:tcW w:w="1523" w:type="dxa"/>
                  <w:tcBorders>
                    <w:bottom w:val="single" w:sz="4" w:space="0" w:color="auto"/>
                  </w:tcBorders>
                  <w:shd w:val="clear" w:color="auto" w:fill="F2F2F2" w:themeFill="background1" w:themeFillShade="F2"/>
                </w:tcPr>
                <w:p w14:paraId="5337A24D" w14:textId="77777777" w:rsidR="00B24BA3" w:rsidRPr="001574DC" w:rsidRDefault="00B24BA3" w:rsidP="00B24BA3">
                  <w:pPr>
                    <w:rPr>
                      <w:b/>
                      <w:sz w:val="20"/>
                      <w:szCs w:val="20"/>
                    </w:rPr>
                  </w:pPr>
                  <w:r w:rsidRPr="001574DC">
                    <w:rPr>
                      <w:b/>
                      <w:sz w:val="20"/>
                      <w:szCs w:val="20"/>
                    </w:rPr>
                    <w:t>Disadvantaged</w:t>
                  </w:r>
                </w:p>
              </w:tc>
              <w:tc>
                <w:tcPr>
                  <w:tcW w:w="851" w:type="dxa"/>
                  <w:tcBorders>
                    <w:bottom w:val="single" w:sz="4" w:space="0" w:color="auto"/>
                  </w:tcBorders>
                  <w:shd w:val="clear" w:color="auto" w:fill="F2F2F2" w:themeFill="background1" w:themeFillShade="F2"/>
                </w:tcPr>
                <w:p w14:paraId="185A3666" w14:textId="77777777" w:rsidR="00B24BA3" w:rsidRPr="001574DC" w:rsidRDefault="00B24BA3" w:rsidP="00B24BA3">
                  <w:pPr>
                    <w:rPr>
                      <w:b/>
                      <w:sz w:val="20"/>
                      <w:szCs w:val="20"/>
                    </w:rPr>
                  </w:pPr>
                  <w:r w:rsidRPr="001574DC">
                    <w:rPr>
                      <w:b/>
                      <w:sz w:val="20"/>
                      <w:szCs w:val="20"/>
                    </w:rPr>
                    <w:t>Others</w:t>
                  </w:r>
                </w:p>
              </w:tc>
              <w:tc>
                <w:tcPr>
                  <w:tcW w:w="1135" w:type="dxa"/>
                  <w:tcBorders>
                    <w:bottom w:val="single" w:sz="4" w:space="0" w:color="auto"/>
                  </w:tcBorders>
                  <w:shd w:val="clear" w:color="auto" w:fill="F2F2F2" w:themeFill="background1" w:themeFillShade="F2"/>
                </w:tcPr>
                <w:p w14:paraId="57E59E80" w14:textId="77777777" w:rsidR="00B24BA3" w:rsidRPr="001574DC" w:rsidRDefault="00B24BA3" w:rsidP="00B24BA3">
                  <w:pPr>
                    <w:rPr>
                      <w:b/>
                      <w:sz w:val="20"/>
                      <w:szCs w:val="20"/>
                    </w:rPr>
                  </w:pPr>
                  <w:r w:rsidRPr="001574DC">
                    <w:rPr>
                      <w:b/>
                      <w:sz w:val="20"/>
                      <w:szCs w:val="20"/>
                    </w:rPr>
                    <w:t xml:space="preserve">Difference </w:t>
                  </w:r>
                </w:p>
              </w:tc>
              <w:tc>
                <w:tcPr>
                  <w:tcW w:w="1523" w:type="dxa"/>
                  <w:tcBorders>
                    <w:bottom w:val="single" w:sz="4" w:space="0" w:color="auto"/>
                  </w:tcBorders>
                  <w:shd w:val="clear" w:color="auto" w:fill="F2F2F2" w:themeFill="background1" w:themeFillShade="F2"/>
                </w:tcPr>
                <w:p w14:paraId="1EFE7E3A" w14:textId="77777777" w:rsidR="00B24BA3" w:rsidRPr="001574DC" w:rsidRDefault="00B24BA3" w:rsidP="00B24BA3">
                  <w:pPr>
                    <w:rPr>
                      <w:b/>
                      <w:sz w:val="20"/>
                      <w:szCs w:val="20"/>
                    </w:rPr>
                  </w:pPr>
                  <w:r w:rsidRPr="001574DC">
                    <w:rPr>
                      <w:b/>
                      <w:sz w:val="20"/>
                      <w:szCs w:val="20"/>
                    </w:rPr>
                    <w:t>Disadvantaged</w:t>
                  </w:r>
                </w:p>
              </w:tc>
              <w:tc>
                <w:tcPr>
                  <w:tcW w:w="851" w:type="dxa"/>
                  <w:tcBorders>
                    <w:bottom w:val="single" w:sz="4" w:space="0" w:color="auto"/>
                  </w:tcBorders>
                  <w:shd w:val="clear" w:color="auto" w:fill="F2F2F2" w:themeFill="background1" w:themeFillShade="F2"/>
                </w:tcPr>
                <w:p w14:paraId="243D35DD" w14:textId="77777777" w:rsidR="00B24BA3" w:rsidRPr="001574DC" w:rsidRDefault="00B24BA3" w:rsidP="00B24BA3">
                  <w:pPr>
                    <w:rPr>
                      <w:b/>
                      <w:sz w:val="20"/>
                      <w:szCs w:val="20"/>
                    </w:rPr>
                  </w:pPr>
                  <w:r w:rsidRPr="001574DC">
                    <w:rPr>
                      <w:b/>
                      <w:sz w:val="20"/>
                      <w:szCs w:val="20"/>
                    </w:rPr>
                    <w:t>Others</w:t>
                  </w:r>
                </w:p>
              </w:tc>
              <w:tc>
                <w:tcPr>
                  <w:tcW w:w="1135" w:type="dxa"/>
                  <w:tcBorders>
                    <w:bottom w:val="single" w:sz="4" w:space="0" w:color="auto"/>
                  </w:tcBorders>
                  <w:shd w:val="clear" w:color="auto" w:fill="F2F2F2" w:themeFill="background1" w:themeFillShade="F2"/>
                </w:tcPr>
                <w:p w14:paraId="5B481B00" w14:textId="77777777" w:rsidR="00B24BA3" w:rsidRPr="001574DC" w:rsidRDefault="00B24BA3" w:rsidP="00B24BA3">
                  <w:pPr>
                    <w:rPr>
                      <w:b/>
                      <w:sz w:val="20"/>
                      <w:szCs w:val="20"/>
                    </w:rPr>
                  </w:pPr>
                  <w:r w:rsidRPr="001574DC">
                    <w:rPr>
                      <w:b/>
                      <w:sz w:val="20"/>
                      <w:szCs w:val="20"/>
                    </w:rPr>
                    <w:t xml:space="preserve">Difference </w:t>
                  </w:r>
                </w:p>
              </w:tc>
            </w:tr>
            <w:tr w:rsidR="00B24BA3" w:rsidRPr="00EC46EE" w14:paraId="67150F41" w14:textId="77777777" w:rsidTr="00B24BA3">
              <w:tc>
                <w:tcPr>
                  <w:tcW w:w="1719" w:type="dxa"/>
                  <w:shd w:val="clear" w:color="auto" w:fill="F2F2F2" w:themeFill="background1" w:themeFillShade="F2"/>
                </w:tcPr>
                <w:p w14:paraId="6803BEF3" w14:textId="77777777" w:rsidR="00B24BA3" w:rsidRPr="00BA4984" w:rsidRDefault="00B24BA3" w:rsidP="00B24BA3">
                  <w:pPr>
                    <w:rPr>
                      <w:b/>
                    </w:rPr>
                  </w:pPr>
                  <w:r w:rsidRPr="00BA4984">
                    <w:rPr>
                      <w:b/>
                    </w:rPr>
                    <w:t>National 2024</w:t>
                  </w:r>
                </w:p>
              </w:tc>
              <w:tc>
                <w:tcPr>
                  <w:tcW w:w="1523" w:type="dxa"/>
                  <w:shd w:val="clear" w:color="auto" w:fill="DAEEF3" w:themeFill="accent5" w:themeFillTint="33"/>
                </w:tcPr>
                <w:p w14:paraId="72C167C9" w14:textId="77777777" w:rsidR="00B24BA3" w:rsidRPr="00BA4984" w:rsidRDefault="00B24BA3" w:rsidP="00B24BA3">
                  <w:pPr>
                    <w:jc w:val="center"/>
                  </w:pPr>
                  <w:r w:rsidRPr="00BA4984">
                    <w:t>59%</w:t>
                  </w:r>
                </w:p>
              </w:tc>
              <w:tc>
                <w:tcPr>
                  <w:tcW w:w="851" w:type="dxa"/>
                  <w:shd w:val="clear" w:color="auto" w:fill="DAEEF3" w:themeFill="accent5" w:themeFillTint="33"/>
                </w:tcPr>
                <w:p w14:paraId="00B77F5D" w14:textId="77777777" w:rsidR="00B24BA3" w:rsidRPr="00BA4984" w:rsidRDefault="00B24BA3" w:rsidP="00B24BA3">
                  <w:pPr>
                    <w:jc w:val="center"/>
                  </w:pPr>
                  <w:r w:rsidRPr="00BA4984">
                    <w:t>79%</w:t>
                  </w:r>
                </w:p>
              </w:tc>
              <w:tc>
                <w:tcPr>
                  <w:tcW w:w="1135" w:type="dxa"/>
                  <w:shd w:val="clear" w:color="auto" w:fill="DAEEF3" w:themeFill="accent5" w:themeFillTint="33"/>
                </w:tcPr>
                <w:p w14:paraId="1A9DB149" w14:textId="77777777" w:rsidR="00B24BA3" w:rsidRPr="00BA4984" w:rsidRDefault="00B24BA3" w:rsidP="00B24BA3">
                  <w:pPr>
                    <w:jc w:val="center"/>
                  </w:pPr>
                  <w:r w:rsidRPr="00BA4984">
                    <w:t>- 20%</w:t>
                  </w:r>
                </w:p>
              </w:tc>
              <w:tc>
                <w:tcPr>
                  <w:tcW w:w="1523" w:type="dxa"/>
                  <w:shd w:val="clear" w:color="auto" w:fill="DAEEF3" w:themeFill="accent5" w:themeFillTint="33"/>
                </w:tcPr>
                <w:p w14:paraId="2EA6EE3A" w14:textId="77777777" w:rsidR="00B24BA3" w:rsidRPr="00BA4984" w:rsidRDefault="00B24BA3" w:rsidP="00B24BA3">
                  <w:pPr>
                    <w:jc w:val="center"/>
                  </w:pPr>
                  <w:r w:rsidRPr="00BA4984">
                    <w:t>-</w:t>
                  </w:r>
                </w:p>
              </w:tc>
              <w:tc>
                <w:tcPr>
                  <w:tcW w:w="851" w:type="dxa"/>
                  <w:shd w:val="clear" w:color="auto" w:fill="DAEEF3" w:themeFill="accent5" w:themeFillTint="33"/>
                </w:tcPr>
                <w:p w14:paraId="550DE898" w14:textId="77777777" w:rsidR="00B24BA3" w:rsidRPr="00BA4984" w:rsidRDefault="00B24BA3" w:rsidP="00B24BA3">
                  <w:pPr>
                    <w:jc w:val="center"/>
                  </w:pPr>
                  <w:r w:rsidRPr="00BA4984">
                    <w:t>-</w:t>
                  </w:r>
                </w:p>
              </w:tc>
              <w:tc>
                <w:tcPr>
                  <w:tcW w:w="1135" w:type="dxa"/>
                  <w:shd w:val="clear" w:color="auto" w:fill="DAEEF3" w:themeFill="accent5" w:themeFillTint="33"/>
                </w:tcPr>
                <w:p w14:paraId="11A0F649" w14:textId="77777777" w:rsidR="00B24BA3" w:rsidRPr="00BA4984" w:rsidRDefault="00B24BA3" w:rsidP="00B24BA3">
                  <w:pPr>
                    <w:jc w:val="center"/>
                  </w:pPr>
                  <w:r w:rsidRPr="00BA4984">
                    <w:t>-</w:t>
                  </w:r>
                </w:p>
              </w:tc>
            </w:tr>
            <w:tr w:rsidR="00B24BA3" w:rsidRPr="00EC46EE" w14:paraId="6D72E761" w14:textId="77777777" w:rsidTr="00B24BA3">
              <w:tc>
                <w:tcPr>
                  <w:tcW w:w="1719" w:type="dxa"/>
                  <w:shd w:val="clear" w:color="auto" w:fill="F2F2F2" w:themeFill="background1" w:themeFillShade="F2"/>
                </w:tcPr>
                <w:p w14:paraId="2DF72E6B" w14:textId="77777777" w:rsidR="00B24BA3" w:rsidRPr="00BA4984" w:rsidRDefault="00B24BA3" w:rsidP="00B24BA3">
                  <w:pPr>
                    <w:rPr>
                      <w:b/>
                    </w:rPr>
                  </w:pPr>
                  <w:r w:rsidRPr="00BA4984">
                    <w:rPr>
                      <w:b/>
                    </w:rPr>
                    <w:t>Birmingham 2024</w:t>
                  </w:r>
                </w:p>
              </w:tc>
              <w:tc>
                <w:tcPr>
                  <w:tcW w:w="1523" w:type="dxa"/>
                  <w:shd w:val="clear" w:color="auto" w:fill="DAEEF3" w:themeFill="accent5" w:themeFillTint="33"/>
                </w:tcPr>
                <w:p w14:paraId="7EBC97BC" w14:textId="77777777" w:rsidR="00B24BA3" w:rsidRPr="00BA4984" w:rsidRDefault="00B24BA3" w:rsidP="00B24BA3">
                  <w:pPr>
                    <w:jc w:val="center"/>
                  </w:pPr>
                  <w:r w:rsidRPr="00BA4984">
                    <w:t>65.3%</w:t>
                  </w:r>
                </w:p>
              </w:tc>
              <w:tc>
                <w:tcPr>
                  <w:tcW w:w="851" w:type="dxa"/>
                  <w:shd w:val="clear" w:color="auto" w:fill="DAEEF3" w:themeFill="accent5" w:themeFillTint="33"/>
                </w:tcPr>
                <w:p w14:paraId="2415F179" w14:textId="77777777" w:rsidR="00B24BA3" w:rsidRPr="00BA4984" w:rsidRDefault="00B24BA3" w:rsidP="00B24BA3">
                  <w:pPr>
                    <w:jc w:val="center"/>
                  </w:pPr>
                  <w:r w:rsidRPr="00BA4984">
                    <w:t>81%</w:t>
                  </w:r>
                </w:p>
              </w:tc>
              <w:tc>
                <w:tcPr>
                  <w:tcW w:w="1135" w:type="dxa"/>
                  <w:shd w:val="clear" w:color="auto" w:fill="DAEEF3" w:themeFill="accent5" w:themeFillTint="33"/>
                </w:tcPr>
                <w:p w14:paraId="78DD7144" w14:textId="77777777" w:rsidR="00B24BA3" w:rsidRPr="00BA4984" w:rsidRDefault="00B24BA3" w:rsidP="00B24BA3">
                  <w:pPr>
                    <w:jc w:val="center"/>
                  </w:pPr>
                  <w:r w:rsidRPr="00BA4984">
                    <w:t>-15.7%</w:t>
                  </w:r>
                </w:p>
              </w:tc>
              <w:tc>
                <w:tcPr>
                  <w:tcW w:w="1523" w:type="dxa"/>
                  <w:shd w:val="clear" w:color="auto" w:fill="DAEEF3" w:themeFill="accent5" w:themeFillTint="33"/>
                </w:tcPr>
                <w:p w14:paraId="624F3463" w14:textId="77777777" w:rsidR="00B24BA3" w:rsidRPr="00BA4984" w:rsidRDefault="00B24BA3" w:rsidP="00B24BA3">
                  <w:pPr>
                    <w:jc w:val="center"/>
                  </w:pPr>
                  <w:r w:rsidRPr="00BA4984">
                    <w:t>17.4%</w:t>
                  </w:r>
                </w:p>
              </w:tc>
              <w:tc>
                <w:tcPr>
                  <w:tcW w:w="851" w:type="dxa"/>
                  <w:shd w:val="clear" w:color="auto" w:fill="DAEEF3" w:themeFill="accent5" w:themeFillTint="33"/>
                </w:tcPr>
                <w:p w14:paraId="1399AF61" w14:textId="77777777" w:rsidR="00B24BA3" w:rsidRPr="00BA4984" w:rsidRDefault="00B24BA3" w:rsidP="00B24BA3">
                  <w:pPr>
                    <w:jc w:val="center"/>
                  </w:pPr>
                  <w:r w:rsidRPr="00BA4984">
                    <w:t>32.1%</w:t>
                  </w:r>
                </w:p>
              </w:tc>
              <w:tc>
                <w:tcPr>
                  <w:tcW w:w="1135" w:type="dxa"/>
                  <w:shd w:val="clear" w:color="auto" w:fill="DAEEF3" w:themeFill="accent5" w:themeFillTint="33"/>
                </w:tcPr>
                <w:p w14:paraId="09E9E7EB" w14:textId="77777777" w:rsidR="00B24BA3" w:rsidRPr="00BA4984" w:rsidRDefault="00B24BA3" w:rsidP="00B24BA3">
                  <w:pPr>
                    <w:jc w:val="center"/>
                  </w:pPr>
                  <w:r w:rsidRPr="00BA4984">
                    <w:t>-14.7</w:t>
                  </w:r>
                </w:p>
              </w:tc>
            </w:tr>
            <w:tr w:rsidR="00B24BA3" w:rsidRPr="00EC46EE" w14:paraId="5473A97F" w14:textId="77777777" w:rsidTr="00B24BA3">
              <w:tc>
                <w:tcPr>
                  <w:tcW w:w="1719" w:type="dxa"/>
                  <w:shd w:val="clear" w:color="auto" w:fill="F2F2F2" w:themeFill="background1" w:themeFillShade="F2"/>
                </w:tcPr>
                <w:p w14:paraId="6C23593D" w14:textId="77777777" w:rsidR="00B24BA3" w:rsidRPr="008B738E" w:rsidRDefault="00B24BA3" w:rsidP="00B24BA3">
                  <w:pPr>
                    <w:rPr>
                      <w:b/>
                    </w:rPr>
                  </w:pPr>
                  <w:r w:rsidRPr="008B738E">
                    <w:rPr>
                      <w:b/>
                    </w:rPr>
                    <w:t xml:space="preserve">Year 6 </w:t>
                  </w:r>
                </w:p>
              </w:tc>
              <w:tc>
                <w:tcPr>
                  <w:tcW w:w="1523" w:type="dxa"/>
                  <w:shd w:val="clear" w:color="auto" w:fill="DAEEF3" w:themeFill="accent5" w:themeFillTint="33"/>
                </w:tcPr>
                <w:p w14:paraId="232373AC" w14:textId="77777777" w:rsidR="00B24BA3" w:rsidRPr="008B738E" w:rsidRDefault="00B24BA3" w:rsidP="00B24BA3">
                  <w:pPr>
                    <w:jc w:val="center"/>
                  </w:pPr>
                  <w:r>
                    <w:t>58.3%</w:t>
                  </w:r>
                </w:p>
              </w:tc>
              <w:tc>
                <w:tcPr>
                  <w:tcW w:w="851" w:type="dxa"/>
                  <w:shd w:val="clear" w:color="auto" w:fill="DAEEF3" w:themeFill="accent5" w:themeFillTint="33"/>
                </w:tcPr>
                <w:p w14:paraId="2219405D" w14:textId="77777777" w:rsidR="00B24BA3" w:rsidRPr="008B738E" w:rsidRDefault="00B24BA3" w:rsidP="00B24BA3">
                  <w:pPr>
                    <w:jc w:val="center"/>
                  </w:pPr>
                  <w:r>
                    <w:t>74.5%</w:t>
                  </w:r>
                </w:p>
              </w:tc>
              <w:tc>
                <w:tcPr>
                  <w:tcW w:w="1135" w:type="dxa"/>
                  <w:shd w:val="clear" w:color="auto" w:fill="DAEEF3" w:themeFill="accent5" w:themeFillTint="33"/>
                </w:tcPr>
                <w:p w14:paraId="3DC6F013" w14:textId="77777777" w:rsidR="00B24BA3" w:rsidRPr="008B738E" w:rsidRDefault="00B24BA3" w:rsidP="00B24BA3">
                  <w:pPr>
                    <w:jc w:val="center"/>
                  </w:pPr>
                  <w:r>
                    <w:t>-16.2</w:t>
                  </w:r>
                </w:p>
              </w:tc>
              <w:tc>
                <w:tcPr>
                  <w:tcW w:w="1523" w:type="dxa"/>
                  <w:shd w:val="clear" w:color="auto" w:fill="DAEEF3" w:themeFill="accent5" w:themeFillTint="33"/>
                </w:tcPr>
                <w:p w14:paraId="13F4DCE6" w14:textId="77777777" w:rsidR="00B24BA3" w:rsidRPr="008B738E" w:rsidRDefault="00B24BA3" w:rsidP="00B24BA3">
                  <w:pPr>
                    <w:jc w:val="center"/>
                  </w:pPr>
                  <w:r>
                    <w:t>57.14%</w:t>
                  </w:r>
                </w:p>
              </w:tc>
              <w:tc>
                <w:tcPr>
                  <w:tcW w:w="851" w:type="dxa"/>
                  <w:shd w:val="clear" w:color="auto" w:fill="DAEEF3" w:themeFill="accent5" w:themeFillTint="33"/>
                </w:tcPr>
                <w:p w14:paraId="33CB2EC9" w14:textId="77777777" w:rsidR="00B24BA3" w:rsidRPr="008B738E" w:rsidRDefault="00B24BA3" w:rsidP="00B24BA3">
                  <w:pPr>
                    <w:jc w:val="center"/>
                  </w:pPr>
                  <w:r>
                    <w:t>73.58%</w:t>
                  </w:r>
                </w:p>
              </w:tc>
              <w:tc>
                <w:tcPr>
                  <w:tcW w:w="1135" w:type="dxa"/>
                  <w:shd w:val="clear" w:color="auto" w:fill="DAEEF3" w:themeFill="accent5" w:themeFillTint="33"/>
                </w:tcPr>
                <w:p w14:paraId="14CE9696" w14:textId="77777777" w:rsidR="00B24BA3" w:rsidRPr="008B738E" w:rsidRDefault="00B24BA3" w:rsidP="00B24BA3">
                  <w:pPr>
                    <w:jc w:val="center"/>
                  </w:pPr>
                  <w:r>
                    <w:t>-16.44</w:t>
                  </w:r>
                </w:p>
              </w:tc>
            </w:tr>
            <w:tr w:rsidR="00B24BA3" w:rsidRPr="00EC46EE" w14:paraId="5E0BD422" w14:textId="77777777" w:rsidTr="00B24BA3">
              <w:tc>
                <w:tcPr>
                  <w:tcW w:w="1719" w:type="dxa"/>
                  <w:shd w:val="clear" w:color="auto" w:fill="F2F2F2" w:themeFill="background1" w:themeFillShade="F2"/>
                </w:tcPr>
                <w:p w14:paraId="743A3F08" w14:textId="77777777" w:rsidR="00B24BA3" w:rsidRPr="008B738E" w:rsidRDefault="00B24BA3" w:rsidP="00B24BA3">
                  <w:pPr>
                    <w:rPr>
                      <w:b/>
                    </w:rPr>
                  </w:pPr>
                  <w:r w:rsidRPr="008B738E">
                    <w:rPr>
                      <w:b/>
                    </w:rPr>
                    <w:t>Year 6 No SEN</w:t>
                  </w:r>
                </w:p>
              </w:tc>
              <w:tc>
                <w:tcPr>
                  <w:tcW w:w="1523" w:type="dxa"/>
                  <w:shd w:val="clear" w:color="auto" w:fill="DAEEF3" w:themeFill="accent5" w:themeFillTint="33"/>
                </w:tcPr>
                <w:p w14:paraId="79910433" w14:textId="77777777" w:rsidR="00B24BA3" w:rsidRPr="008B738E" w:rsidRDefault="00B24BA3" w:rsidP="00B24BA3">
                  <w:pPr>
                    <w:jc w:val="center"/>
                  </w:pPr>
                  <w:r>
                    <w:t>79.13%</w:t>
                  </w:r>
                </w:p>
              </w:tc>
              <w:tc>
                <w:tcPr>
                  <w:tcW w:w="851" w:type="dxa"/>
                  <w:shd w:val="clear" w:color="auto" w:fill="DAEEF3" w:themeFill="accent5" w:themeFillTint="33"/>
                </w:tcPr>
                <w:p w14:paraId="4B5B00C1" w14:textId="77777777" w:rsidR="00B24BA3" w:rsidRPr="008B738E" w:rsidRDefault="00B24BA3" w:rsidP="00B24BA3">
                  <w:pPr>
                    <w:jc w:val="center"/>
                  </w:pPr>
                  <w:r>
                    <w:t>92.93%</w:t>
                  </w:r>
                </w:p>
              </w:tc>
              <w:tc>
                <w:tcPr>
                  <w:tcW w:w="1135" w:type="dxa"/>
                  <w:shd w:val="clear" w:color="auto" w:fill="DAEEF3" w:themeFill="accent5" w:themeFillTint="33"/>
                </w:tcPr>
                <w:p w14:paraId="7D38B910" w14:textId="77777777" w:rsidR="00B24BA3" w:rsidRPr="008B738E" w:rsidRDefault="00B24BA3" w:rsidP="00B24BA3">
                  <w:pPr>
                    <w:jc w:val="center"/>
                  </w:pPr>
                  <w:r>
                    <w:t>-13.8</w:t>
                  </w:r>
                </w:p>
              </w:tc>
              <w:tc>
                <w:tcPr>
                  <w:tcW w:w="1523" w:type="dxa"/>
                  <w:shd w:val="clear" w:color="auto" w:fill="DAEEF3" w:themeFill="accent5" w:themeFillTint="33"/>
                </w:tcPr>
                <w:p w14:paraId="0420898F" w14:textId="77777777" w:rsidR="00B24BA3" w:rsidRPr="008B738E" w:rsidRDefault="00B24BA3" w:rsidP="00B24BA3">
                  <w:pPr>
                    <w:jc w:val="center"/>
                  </w:pPr>
                  <w:r>
                    <w:t>18.8%</w:t>
                  </w:r>
                </w:p>
              </w:tc>
              <w:tc>
                <w:tcPr>
                  <w:tcW w:w="851" w:type="dxa"/>
                  <w:shd w:val="clear" w:color="auto" w:fill="DAEEF3" w:themeFill="accent5" w:themeFillTint="33"/>
                </w:tcPr>
                <w:p w14:paraId="6F49F868" w14:textId="77777777" w:rsidR="00B24BA3" w:rsidRPr="008B738E" w:rsidRDefault="00B24BA3" w:rsidP="00B24BA3">
                  <w:pPr>
                    <w:jc w:val="center"/>
                  </w:pPr>
                  <w:r>
                    <w:t>34%</w:t>
                  </w:r>
                </w:p>
              </w:tc>
              <w:tc>
                <w:tcPr>
                  <w:tcW w:w="1135" w:type="dxa"/>
                  <w:shd w:val="clear" w:color="auto" w:fill="DAEEF3" w:themeFill="accent5" w:themeFillTint="33"/>
                </w:tcPr>
                <w:p w14:paraId="03CB963C" w14:textId="77777777" w:rsidR="00B24BA3" w:rsidRDefault="00B24BA3" w:rsidP="00B24BA3">
                  <w:pPr>
                    <w:jc w:val="center"/>
                  </w:pPr>
                  <w:r>
                    <w:t>-15.2</w:t>
                  </w:r>
                </w:p>
                <w:p w14:paraId="344F375E" w14:textId="77777777" w:rsidR="00B24BA3" w:rsidRPr="008B738E" w:rsidRDefault="00B24BA3" w:rsidP="00B24BA3">
                  <w:pPr>
                    <w:jc w:val="center"/>
                  </w:pPr>
                </w:p>
              </w:tc>
            </w:tr>
            <w:tr w:rsidR="00B24BA3" w:rsidRPr="00EC46EE" w14:paraId="70163D32" w14:textId="77777777" w:rsidTr="00B24BA3">
              <w:tc>
                <w:tcPr>
                  <w:tcW w:w="1719" w:type="dxa"/>
                  <w:shd w:val="clear" w:color="auto" w:fill="F2F2F2" w:themeFill="background1" w:themeFillShade="F2"/>
                </w:tcPr>
                <w:p w14:paraId="06D60508" w14:textId="77777777" w:rsidR="00B24BA3" w:rsidRPr="00B95B45" w:rsidRDefault="00B24BA3" w:rsidP="00B24BA3">
                  <w:pPr>
                    <w:rPr>
                      <w:b/>
                    </w:rPr>
                  </w:pPr>
                  <w:r w:rsidRPr="00B95B45">
                    <w:rPr>
                      <w:b/>
                    </w:rPr>
                    <w:t>Year 5</w:t>
                  </w:r>
                </w:p>
              </w:tc>
              <w:tc>
                <w:tcPr>
                  <w:tcW w:w="1523" w:type="dxa"/>
                </w:tcPr>
                <w:p w14:paraId="5B8BADDD" w14:textId="77777777" w:rsidR="00B24BA3" w:rsidRPr="00BA52AA" w:rsidRDefault="00B24BA3" w:rsidP="00B24BA3">
                  <w:pPr>
                    <w:jc w:val="center"/>
                  </w:pPr>
                  <w:r>
                    <w:t>58.7%</w:t>
                  </w:r>
                </w:p>
              </w:tc>
              <w:tc>
                <w:tcPr>
                  <w:tcW w:w="851" w:type="dxa"/>
                </w:tcPr>
                <w:p w14:paraId="1899ECB3" w14:textId="77777777" w:rsidR="00B24BA3" w:rsidRPr="00BA52AA" w:rsidRDefault="00B24BA3" w:rsidP="00B24BA3">
                  <w:pPr>
                    <w:jc w:val="center"/>
                  </w:pPr>
                  <w:r>
                    <w:t>82.2%</w:t>
                  </w:r>
                </w:p>
              </w:tc>
              <w:tc>
                <w:tcPr>
                  <w:tcW w:w="1135" w:type="dxa"/>
                </w:tcPr>
                <w:p w14:paraId="641A5AB4" w14:textId="77777777" w:rsidR="00B24BA3" w:rsidRPr="00BA52AA" w:rsidRDefault="00B24BA3" w:rsidP="00B24BA3">
                  <w:pPr>
                    <w:jc w:val="center"/>
                  </w:pPr>
                  <w:r>
                    <w:t>-23.5</w:t>
                  </w:r>
                </w:p>
              </w:tc>
              <w:tc>
                <w:tcPr>
                  <w:tcW w:w="1523" w:type="dxa"/>
                </w:tcPr>
                <w:p w14:paraId="621696C3" w14:textId="77777777" w:rsidR="00B24BA3" w:rsidRPr="002D0751" w:rsidRDefault="00B24BA3" w:rsidP="00B24BA3">
                  <w:pPr>
                    <w:jc w:val="center"/>
                  </w:pPr>
                  <w:r w:rsidRPr="002D0751">
                    <w:t>8.7</w:t>
                  </w:r>
                </w:p>
              </w:tc>
              <w:tc>
                <w:tcPr>
                  <w:tcW w:w="851" w:type="dxa"/>
                </w:tcPr>
                <w:p w14:paraId="17A29BD9" w14:textId="77777777" w:rsidR="00B24BA3" w:rsidRPr="002D0751" w:rsidRDefault="00B24BA3" w:rsidP="00B24BA3">
                  <w:pPr>
                    <w:jc w:val="center"/>
                  </w:pPr>
                  <w:r w:rsidRPr="002D0751">
                    <w:t>17.78</w:t>
                  </w:r>
                </w:p>
              </w:tc>
              <w:tc>
                <w:tcPr>
                  <w:tcW w:w="1135" w:type="dxa"/>
                </w:tcPr>
                <w:p w14:paraId="5441819D" w14:textId="77777777" w:rsidR="00B24BA3" w:rsidRPr="00E2329B" w:rsidRDefault="00B24BA3" w:rsidP="00B24BA3">
                  <w:pPr>
                    <w:jc w:val="center"/>
                  </w:pPr>
                  <w:r w:rsidRPr="00E2329B">
                    <w:t>-9.08</w:t>
                  </w:r>
                </w:p>
              </w:tc>
            </w:tr>
            <w:tr w:rsidR="00B24BA3" w:rsidRPr="00EC46EE" w14:paraId="4F7A2E0E" w14:textId="77777777" w:rsidTr="00B24BA3">
              <w:tc>
                <w:tcPr>
                  <w:tcW w:w="1719" w:type="dxa"/>
                  <w:shd w:val="clear" w:color="auto" w:fill="F2F2F2" w:themeFill="background1" w:themeFillShade="F2"/>
                </w:tcPr>
                <w:p w14:paraId="2036AD37" w14:textId="77777777" w:rsidR="00B24BA3" w:rsidRPr="00B95B45" w:rsidRDefault="00B24BA3" w:rsidP="00B24BA3">
                  <w:pPr>
                    <w:rPr>
                      <w:b/>
                    </w:rPr>
                  </w:pPr>
                  <w:r w:rsidRPr="00B95B45">
                    <w:rPr>
                      <w:b/>
                    </w:rPr>
                    <w:t>Year 5 No SEN</w:t>
                  </w:r>
                </w:p>
              </w:tc>
              <w:tc>
                <w:tcPr>
                  <w:tcW w:w="1523" w:type="dxa"/>
                </w:tcPr>
                <w:p w14:paraId="6C9FC8CE" w14:textId="77777777" w:rsidR="00B24BA3" w:rsidRPr="00BA52AA" w:rsidRDefault="00B24BA3" w:rsidP="00B24BA3">
                  <w:pPr>
                    <w:jc w:val="center"/>
                  </w:pPr>
                  <w:r>
                    <w:t>82.14%</w:t>
                  </w:r>
                </w:p>
              </w:tc>
              <w:tc>
                <w:tcPr>
                  <w:tcW w:w="851" w:type="dxa"/>
                </w:tcPr>
                <w:p w14:paraId="48E77F05" w14:textId="77777777" w:rsidR="00B24BA3" w:rsidRPr="00BA52AA" w:rsidRDefault="00B24BA3" w:rsidP="00B24BA3">
                  <w:pPr>
                    <w:jc w:val="center"/>
                  </w:pPr>
                  <w:r>
                    <w:t>91.4%</w:t>
                  </w:r>
                </w:p>
              </w:tc>
              <w:tc>
                <w:tcPr>
                  <w:tcW w:w="1135" w:type="dxa"/>
                </w:tcPr>
                <w:p w14:paraId="7400CA24" w14:textId="77777777" w:rsidR="00B24BA3" w:rsidRPr="00BA52AA" w:rsidRDefault="00B24BA3" w:rsidP="00B24BA3">
                  <w:pPr>
                    <w:jc w:val="center"/>
                  </w:pPr>
                  <w:r>
                    <w:t>-9.26</w:t>
                  </w:r>
                </w:p>
              </w:tc>
              <w:tc>
                <w:tcPr>
                  <w:tcW w:w="1523" w:type="dxa"/>
                </w:tcPr>
                <w:p w14:paraId="5D57B36C" w14:textId="77777777" w:rsidR="00B24BA3" w:rsidRPr="00DB5150" w:rsidRDefault="00B24BA3" w:rsidP="00B24BA3">
                  <w:pPr>
                    <w:jc w:val="center"/>
                  </w:pPr>
                  <w:r w:rsidRPr="00DB5150">
                    <w:t>82.14%</w:t>
                  </w:r>
                </w:p>
              </w:tc>
              <w:tc>
                <w:tcPr>
                  <w:tcW w:w="851" w:type="dxa"/>
                </w:tcPr>
                <w:p w14:paraId="088B2941" w14:textId="77777777" w:rsidR="00B24BA3" w:rsidRPr="00DB5150" w:rsidRDefault="00B24BA3" w:rsidP="00B24BA3">
                  <w:pPr>
                    <w:jc w:val="center"/>
                  </w:pPr>
                  <w:r w:rsidRPr="00DB5150">
                    <w:t>91.43%</w:t>
                  </w:r>
                </w:p>
              </w:tc>
              <w:tc>
                <w:tcPr>
                  <w:tcW w:w="1135" w:type="dxa"/>
                </w:tcPr>
                <w:p w14:paraId="5DBA4F1F" w14:textId="77777777" w:rsidR="00B24BA3" w:rsidRPr="00E2329B" w:rsidRDefault="00B24BA3" w:rsidP="00B24BA3">
                  <w:pPr>
                    <w:jc w:val="center"/>
                  </w:pPr>
                  <w:r w:rsidRPr="00E2329B">
                    <w:t>-9.29</w:t>
                  </w:r>
                </w:p>
              </w:tc>
            </w:tr>
            <w:tr w:rsidR="00B24BA3" w:rsidRPr="00EC46EE" w14:paraId="719BBDB1" w14:textId="77777777" w:rsidTr="00B24BA3">
              <w:tc>
                <w:tcPr>
                  <w:tcW w:w="1719" w:type="dxa"/>
                  <w:shd w:val="clear" w:color="auto" w:fill="F2F2F2" w:themeFill="background1" w:themeFillShade="F2"/>
                </w:tcPr>
                <w:p w14:paraId="1D45A81A" w14:textId="77777777" w:rsidR="00B24BA3" w:rsidRPr="00B95B45" w:rsidRDefault="00B24BA3" w:rsidP="00B24BA3">
                  <w:pPr>
                    <w:rPr>
                      <w:b/>
                    </w:rPr>
                  </w:pPr>
                  <w:r w:rsidRPr="00B95B45">
                    <w:rPr>
                      <w:b/>
                    </w:rPr>
                    <w:t>Year 4</w:t>
                  </w:r>
                </w:p>
              </w:tc>
              <w:tc>
                <w:tcPr>
                  <w:tcW w:w="1523" w:type="dxa"/>
                </w:tcPr>
                <w:p w14:paraId="144EBF32" w14:textId="77777777" w:rsidR="00B24BA3" w:rsidRPr="00BA52AA" w:rsidRDefault="00B24BA3" w:rsidP="00B24BA3">
                  <w:pPr>
                    <w:jc w:val="center"/>
                  </w:pPr>
                  <w:r>
                    <w:t>64.1%</w:t>
                  </w:r>
                </w:p>
              </w:tc>
              <w:tc>
                <w:tcPr>
                  <w:tcW w:w="851" w:type="dxa"/>
                </w:tcPr>
                <w:p w14:paraId="2C099B29" w14:textId="77777777" w:rsidR="00B24BA3" w:rsidRPr="00BA52AA" w:rsidRDefault="00B24BA3" w:rsidP="00B24BA3">
                  <w:pPr>
                    <w:jc w:val="center"/>
                  </w:pPr>
                  <w:r>
                    <w:t>72.5%</w:t>
                  </w:r>
                </w:p>
              </w:tc>
              <w:tc>
                <w:tcPr>
                  <w:tcW w:w="1135" w:type="dxa"/>
                </w:tcPr>
                <w:p w14:paraId="07923E01" w14:textId="77777777" w:rsidR="00B24BA3" w:rsidRPr="00BA52AA" w:rsidRDefault="00B24BA3" w:rsidP="00B24BA3">
                  <w:pPr>
                    <w:jc w:val="center"/>
                  </w:pPr>
                  <w:r>
                    <w:t>-8.4</w:t>
                  </w:r>
                </w:p>
              </w:tc>
              <w:tc>
                <w:tcPr>
                  <w:tcW w:w="1523" w:type="dxa"/>
                </w:tcPr>
                <w:p w14:paraId="10615221" w14:textId="77777777" w:rsidR="00B24BA3" w:rsidRPr="00DB5150" w:rsidRDefault="00B24BA3" w:rsidP="00B24BA3">
                  <w:pPr>
                    <w:jc w:val="center"/>
                  </w:pPr>
                  <w:r w:rsidRPr="00DB5150">
                    <w:t>64.15%</w:t>
                  </w:r>
                </w:p>
              </w:tc>
              <w:tc>
                <w:tcPr>
                  <w:tcW w:w="851" w:type="dxa"/>
                </w:tcPr>
                <w:p w14:paraId="00988473" w14:textId="77777777" w:rsidR="00B24BA3" w:rsidRPr="00DB5150" w:rsidRDefault="00B24BA3" w:rsidP="00B24BA3">
                  <w:pPr>
                    <w:jc w:val="center"/>
                  </w:pPr>
                  <w:r w:rsidRPr="00DB5150">
                    <w:t>72.5%</w:t>
                  </w:r>
                </w:p>
              </w:tc>
              <w:tc>
                <w:tcPr>
                  <w:tcW w:w="1135" w:type="dxa"/>
                </w:tcPr>
                <w:p w14:paraId="761DD5B0" w14:textId="77777777" w:rsidR="00B24BA3" w:rsidRPr="00E2329B" w:rsidRDefault="00B24BA3" w:rsidP="00B24BA3">
                  <w:pPr>
                    <w:jc w:val="center"/>
                  </w:pPr>
                  <w:r w:rsidRPr="00E2329B">
                    <w:t>-8.35</w:t>
                  </w:r>
                </w:p>
              </w:tc>
            </w:tr>
            <w:tr w:rsidR="00B24BA3" w:rsidRPr="00EC46EE" w14:paraId="22C10782" w14:textId="77777777" w:rsidTr="00B24BA3">
              <w:tc>
                <w:tcPr>
                  <w:tcW w:w="1719" w:type="dxa"/>
                  <w:shd w:val="clear" w:color="auto" w:fill="F2F2F2" w:themeFill="background1" w:themeFillShade="F2"/>
                </w:tcPr>
                <w:p w14:paraId="7EC9254F" w14:textId="77777777" w:rsidR="00B24BA3" w:rsidRPr="00B95B45" w:rsidRDefault="00B24BA3" w:rsidP="00B24BA3">
                  <w:pPr>
                    <w:rPr>
                      <w:b/>
                    </w:rPr>
                  </w:pPr>
                  <w:r w:rsidRPr="00B95B45">
                    <w:rPr>
                      <w:b/>
                    </w:rPr>
                    <w:t>Year 4 No SEN</w:t>
                  </w:r>
                </w:p>
              </w:tc>
              <w:tc>
                <w:tcPr>
                  <w:tcW w:w="1523" w:type="dxa"/>
                </w:tcPr>
                <w:p w14:paraId="05A94B34" w14:textId="77777777" w:rsidR="00B24BA3" w:rsidRPr="00BA52AA" w:rsidRDefault="00B24BA3" w:rsidP="00B24BA3">
                  <w:pPr>
                    <w:jc w:val="center"/>
                  </w:pPr>
                  <w:r>
                    <w:t>80%</w:t>
                  </w:r>
                </w:p>
              </w:tc>
              <w:tc>
                <w:tcPr>
                  <w:tcW w:w="851" w:type="dxa"/>
                </w:tcPr>
                <w:p w14:paraId="4AB6B4F9" w14:textId="77777777" w:rsidR="00B24BA3" w:rsidRPr="00BA52AA" w:rsidRDefault="00B24BA3" w:rsidP="00B24BA3">
                  <w:pPr>
                    <w:jc w:val="center"/>
                  </w:pPr>
                  <w:r>
                    <w:t>82.35%</w:t>
                  </w:r>
                </w:p>
              </w:tc>
              <w:tc>
                <w:tcPr>
                  <w:tcW w:w="1135" w:type="dxa"/>
                </w:tcPr>
                <w:p w14:paraId="5E499F4E" w14:textId="77777777" w:rsidR="00B24BA3" w:rsidRPr="00BA52AA" w:rsidRDefault="00B24BA3" w:rsidP="00B24BA3">
                  <w:pPr>
                    <w:jc w:val="center"/>
                  </w:pPr>
                  <w:r>
                    <w:t>-2.35</w:t>
                  </w:r>
                </w:p>
              </w:tc>
              <w:tc>
                <w:tcPr>
                  <w:tcW w:w="1523" w:type="dxa"/>
                </w:tcPr>
                <w:p w14:paraId="49714DED" w14:textId="77777777" w:rsidR="00B24BA3" w:rsidRPr="00DB5150" w:rsidRDefault="00B24BA3" w:rsidP="00B24BA3">
                  <w:pPr>
                    <w:jc w:val="center"/>
                  </w:pPr>
                  <w:r w:rsidRPr="00DB5150">
                    <w:t>80%</w:t>
                  </w:r>
                </w:p>
              </w:tc>
              <w:tc>
                <w:tcPr>
                  <w:tcW w:w="851" w:type="dxa"/>
                </w:tcPr>
                <w:p w14:paraId="1AC747BB" w14:textId="77777777" w:rsidR="00B24BA3" w:rsidRPr="00DB5150" w:rsidRDefault="00B24BA3" w:rsidP="00B24BA3">
                  <w:pPr>
                    <w:jc w:val="center"/>
                  </w:pPr>
                  <w:r w:rsidRPr="00DB5150">
                    <w:t>82.35%</w:t>
                  </w:r>
                </w:p>
              </w:tc>
              <w:tc>
                <w:tcPr>
                  <w:tcW w:w="1135" w:type="dxa"/>
                </w:tcPr>
                <w:p w14:paraId="6A17811C" w14:textId="77777777" w:rsidR="00B24BA3" w:rsidRPr="00E2329B" w:rsidRDefault="00B24BA3" w:rsidP="00B24BA3">
                  <w:pPr>
                    <w:jc w:val="center"/>
                  </w:pPr>
                  <w:r w:rsidRPr="00E2329B">
                    <w:t>-2.35</w:t>
                  </w:r>
                </w:p>
              </w:tc>
            </w:tr>
            <w:tr w:rsidR="00B24BA3" w:rsidRPr="00EC46EE" w14:paraId="28B42F1B" w14:textId="77777777" w:rsidTr="00B24BA3">
              <w:tc>
                <w:tcPr>
                  <w:tcW w:w="1719" w:type="dxa"/>
                  <w:shd w:val="clear" w:color="auto" w:fill="F2F2F2" w:themeFill="background1" w:themeFillShade="F2"/>
                </w:tcPr>
                <w:p w14:paraId="6249D520" w14:textId="77777777" w:rsidR="00B24BA3" w:rsidRPr="00B95B45" w:rsidRDefault="00B24BA3" w:rsidP="00B24BA3">
                  <w:pPr>
                    <w:rPr>
                      <w:b/>
                    </w:rPr>
                  </w:pPr>
                  <w:r w:rsidRPr="00B95B45">
                    <w:rPr>
                      <w:b/>
                    </w:rPr>
                    <w:t>Year 3</w:t>
                  </w:r>
                </w:p>
              </w:tc>
              <w:tc>
                <w:tcPr>
                  <w:tcW w:w="1523" w:type="dxa"/>
                </w:tcPr>
                <w:p w14:paraId="458210BB" w14:textId="77777777" w:rsidR="00B24BA3" w:rsidRPr="00BA52AA" w:rsidRDefault="00B24BA3" w:rsidP="00B24BA3">
                  <w:pPr>
                    <w:jc w:val="center"/>
                  </w:pPr>
                  <w:r>
                    <w:t>55%</w:t>
                  </w:r>
                </w:p>
              </w:tc>
              <w:tc>
                <w:tcPr>
                  <w:tcW w:w="851" w:type="dxa"/>
                </w:tcPr>
                <w:p w14:paraId="29C8A330" w14:textId="77777777" w:rsidR="00B24BA3" w:rsidRPr="00BA52AA" w:rsidRDefault="00B24BA3" w:rsidP="00B24BA3">
                  <w:pPr>
                    <w:jc w:val="center"/>
                  </w:pPr>
                  <w:r>
                    <w:t>64.58%</w:t>
                  </w:r>
                </w:p>
              </w:tc>
              <w:tc>
                <w:tcPr>
                  <w:tcW w:w="1135" w:type="dxa"/>
                </w:tcPr>
                <w:p w14:paraId="11292655" w14:textId="77777777" w:rsidR="00B24BA3" w:rsidRPr="00BA52AA" w:rsidRDefault="00B24BA3" w:rsidP="00B24BA3">
                  <w:pPr>
                    <w:jc w:val="center"/>
                  </w:pPr>
                  <w:r>
                    <w:t>-9.58</w:t>
                  </w:r>
                </w:p>
              </w:tc>
              <w:tc>
                <w:tcPr>
                  <w:tcW w:w="1523" w:type="dxa"/>
                </w:tcPr>
                <w:p w14:paraId="72B03FB3" w14:textId="77777777" w:rsidR="00B24BA3" w:rsidRPr="00DB5150" w:rsidRDefault="00B24BA3" w:rsidP="00B24BA3">
                  <w:pPr>
                    <w:jc w:val="center"/>
                  </w:pPr>
                  <w:r w:rsidRPr="00DB5150">
                    <w:t>7.5%</w:t>
                  </w:r>
                </w:p>
              </w:tc>
              <w:tc>
                <w:tcPr>
                  <w:tcW w:w="851" w:type="dxa"/>
                </w:tcPr>
                <w:p w14:paraId="6E88B866" w14:textId="77777777" w:rsidR="00B24BA3" w:rsidRPr="00DB5150" w:rsidRDefault="00B24BA3" w:rsidP="00B24BA3">
                  <w:pPr>
                    <w:jc w:val="center"/>
                  </w:pPr>
                  <w:r w:rsidRPr="00DB5150">
                    <w:t>14.58%</w:t>
                  </w:r>
                </w:p>
              </w:tc>
              <w:tc>
                <w:tcPr>
                  <w:tcW w:w="1135" w:type="dxa"/>
                </w:tcPr>
                <w:p w14:paraId="0E17235C" w14:textId="77777777" w:rsidR="00B24BA3" w:rsidRPr="00E2329B" w:rsidRDefault="00B24BA3" w:rsidP="00B24BA3">
                  <w:pPr>
                    <w:jc w:val="center"/>
                  </w:pPr>
                  <w:r w:rsidRPr="00E2329B">
                    <w:t>-7.08</w:t>
                  </w:r>
                </w:p>
              </w:tc>
            </w:tr>
            <w:tr w:rsidR="00B24BA3" w:rsidRPr="00EC46EE" w14:paraId="60E8E4E1" w14:textId="77777777" w:rsidTr="00B24BA3">
              <w:tc>
                <w:tcPr>
                  <w:tcW w:w="1719" w:type="dxa"/>
                  <w:shd w:val="clear" w:color="auto" w:fill="F2F2F2" w:themeFill="background1" w:themeFillShade="F2"/>
                </w:tcPr>
                <w:p w14:paraId="237FD881" w14:textId="77777777" w:rsidR="00B24BA3" w:rsidRPr="00B95B45" w:rsidRDefault="00B24BA3" w:rsidP="00B24BA3">
                  <w:pPr>
                    <w:rPr>
                      <w:b/>
                    </w:rPr>
                  </w:pPr>
                  <w:r w:rsidRPr="00B95B45">
                    <w:rPr>
                      <w:b/>
                    </w:rPr>
                    <w:lastRenderedPageBreak/>
                    <w:t>Year 3 No SEN</w:t>
                  </w:r>
                </w:p>
              </w:tc>
              <w:tc>
                <w:tcPr>
                  <w:tcW w:w="1523" w:type="dxa"/>
                </w:tcPr>
                <w:p w14:paraId="7AA1A174" w14:textId="77777777" w:rsidR="00B24BA3" w:rsidRPr="00BA52AA" w:rsidRDefault="00B24BA3" w:rsidP="00B24BA3">
                  <w:pPr>
                    <w:jc w:val="center"/>
                  </w:pPr>
                  <w:r>
                    <w:t>76%</w:t>
                  </w:r>
                </w:p>
              </w:tc>
              <w:tc>
                <w:tcPr>
                  <w:tcW w:w="851" w:type="dxa"/>
                </w:tcPr>
                <w:p w14:paraId="25BBE21E" w14:textId="77777777" w:rsidR="00B24BA3" w:rsidRPr="00BA52AA" w:rsidRDefault="00B24BA3" w:rsidP="00B24BA3">
                  <w:pPr>
                    <w:jc w:val="center"/>
                  </w:pPr>
                  <w:r>
                    <w:t>70.7%</w:t>
                  </w:r>
                </w:p>
              </w:tc>
              <w:tc>
                <w:tcPr>
                  <w:tcW w:w="1135" w:type="dxa"/>
                </w:tcPr>
                <w:p w14:paraId="33DE5FDB" w14:textId="77777777" w:rsidR="00B24BA3" w:rsidRPr="00BA52AA" w:rsidRDefault="00B24BA3" w:rsidP="00B24BA3">
                  <w:pPr>
                    <w:jc w:val="center"/>
                  </w:pPr>
                  <w:r>
                    <w:t>+5.3</w:t>
                  </w:r>
                </w:p>
              </w:tc>
              <w:tc>
                <w:tcPr>
                  <w:tcW w:w="1523" w:type="dxa"/>
                </w:tcPr>
                <w:p w14:paraId="75102EEB" w14:textId="77777777" w:rsidR="00B24BA3" w:rsidRPr="00DB5150" w:rsidRDefault="00B24BA3" w:rsidP="00B24BA3">
                  <w:pPr>
                    <w:jc w:val="center"/>
                  </w:pPr>
                  <w:r w:rsidRPr="00DB5150">
                    <w:t>12.00%</w:t>
                  </w:r>
                </w:p>
              </w:tc>
              <w:tc>
                <w:tcPr>
                  <w:tcW w:w="851" w:type="dxa"/>
                </w:tcPr>
                <w:p w14:paraId="08E4EFD3" w14:textId="77777777" w:rsidR="00B24BA3" w:rsidRPr="00DB5150" w:rsidRDefault="00B24BA3" w:rsidP="00B24BA3">
                  <w:pPr>
                    <w:jc w:val="center"/>
                  </w:pPr>
                  <w:r w:rsidRPr="00DB5150">
                    <w:t>17.07%</w:t>
                  </w:r>
                </w:p>
              </w:tc>
              <w:tc>
                <w:tcPr>
                  <w:tcW w:w="1135" w:type="dxa"/>
                </w:tcPr>
                <w:p w14:paraId="51D12E45" w14:textId="77777777" w:rsidR="00B24BA3" w:rsidRPr="00E2329B" w:rsidRDefault="00B24BA3" w:rsidP="00B24BA3">
                  <w:pPr>
                    <w:jc w:val="center"/>
                  </w:pPr>
                  <w:r w:rsidRPr="00E2329B">
                    <w:t>-5.07</w:t>
                  </w:r>
                </w:p>
              </w:tc>
            </w:tr>
          </w:tbl>
          <w:p w14:paraId="32A63B0F" w14:textId="77777777" w:rsidR="001B05D5" w:rsidRDefault="001B05D5" w:rsidP="001B05D5">
            <w:pPr>
              <w:pStyle w:val="ListParagraph"/>
              <w:numPr>
                <w:ilvl w:val="0"/>
                <w:numId w:val="0"/>
              </w:numPr>
              <w:suppressAutoHyphens w:val="0"/>
              <w:autoSpaceDN/>
              <w:spacing w:after="160" w:line="259" w:lineRule="auto"/>
              <w:ind w:left="1800"/>
              <w:rPr>
                <w:b/>
              </w:rPr>
            </w:pPr>
          </w:p>
          <w:p w14:paraId="61A18771" w14:textId="13A83650" w:rsidR="00B24BA3" w:rsidRPr="001B05D5" w:rsidRDefault="001B05D5" w:rsidP="001B05D5">
            <w:pPr>
              <w:suppressAutoHyphens w:val="0"/>
              <w:autoSpaceDN/>
              <w:spacing w:after="160" w:line="259" w:lineRule="auto"/>
              <w:ind w:left="360"/>
            </w:pPr>
            <w:r w:rsidRPr="001B05D5">
              <w:t xml:space="preserve">KS2: </w:t>
            </w:r>
            <w:r w:rsidR="00B24BA3" w:rsidRPr="001B05D5">
              <w:t xml:space="preserve">At ARE, there is a 0.7% difference between the attainment of WEJS disadvantaged children and the National Average for disadvantaged children </w:t>
            </w:r>
          </w:p>
          <w:p w14:paraId="0CD5F5FC" w14:textId="05642C0A" w:rsidR="00B24BA3" w:rsidRDefault="00B24BA3" w:rsidP="00B24BA3">
            <w:pPr>
              <w:pStyle w:val="ListParagraph"/>
              <w:numPr>
                <w:ilvl w:val="0"/>
                <w:numId w:val="0"/>
              </w:numPr>
              <w:ind w:left="1800"/>
              <w:rPr>
                <w:b/>
                <w:sz w:val="32"/>
                <w:highlight w:val="yellow"/>
                <w:u w:val="single"/>
              </w:rPr>
            </w:pPr>
          </w:p>
          <w:p w14:paraId="6EFA40B7" w14:textId="04EA711F" w:rsidR="001B05D5" w:rsidRPr="001B05D5" w:rsidRDefault="001B05D5" w:rsidP="001B05D5">
            <w:pPr>
              <w:ind w:left="306" w:hanging="77"/>
            </w:pPr>
            <w:r w:rsidRPr="001B05D5">
              <w:t xml:space="preserve">There is a large gap </w:t>
            </w:r>
            <w:r>
              <w:t xml:space="preserve">at ARE in Year 5 (-23.5%), but in all other year groups the gap is considerably smaller than national. </w:t>
            </w:r>
          </w:p>
          <w:p w14:paraId="06D6275E" w14:textId="77777777" w:rsidR="008726E2" w:rsidRDefault="008726E2" w:rsidP="001B05D5">
            <w:pPr>
              <w:rPr>
                <w:b/>
                <w:sz w:val="32"/>
                <w:highlight w:val="yellow"/>
                <w:u w:val="single"/>
              </w:rPr>
            </w:pPr>
          </w:p>
          <w:p w14:paraId="074A88A9" w14:textId="6980A210" w:rsidR="00B24BA3" w:rsidRPr="00F84285" w:rsidRDefault="001B05D5" w:rsidP="001B05D5">
            <w:pPr>
              <w:rPr>
                <w:b/>
                <w:sz w:val="32"/>
              </w:rPr>
            </w:pPr>
            <w:r>
              <w:rPr>
                <w:b/>
                <w:sz w:val="32"/>
              </w:rPr>
              <w:t xml:space="preserve"> </w:t>
            </w:r>
            <w:r w:rsidR="00B24BA3" w:rsidRPr="001B05D5">
              <w:rPr>
                <w:b/>
                <w:sz w:val="32"/>
              </w:rPr>
              <w:t>Reading</w:t>
            </w:r>
          </w:p>
          <w:tbl>
            <w:tblPr>
              <w:tblStyle w:val="TableGrid1"/>
              <w:tblW w:w="0" w:type="auto"/>
              <w:tblInd w:w="421" w:type="dxa"/>
              <w:tblLayout w:type="fixed"/>
              <w:tblLook w:val="04A0" w:firstRow="1" w:lastRow="0" w:firstColumn="1" w:lastColumn="0" w:noHBand="0" w:noVBand="1"/>
            </w:tblPr>
            <w:tblGrid>
              <w:gridCol w:w="1577"/>
              <w:gridCol w:w="1523"/>
              <w:gridCol w:w="851"/>
              <w:gridCol w:w="1135"/>
              <w:gridCol w:w="1523"/>
              <w:gridCol w:w="851"/>
              <w:gridCol w:w="1135"/>
            </w:tblGrid>
            <w:tr w:rsidR="00B24BA3" w:rsidRPr="00E01027" w14:paraId="5DA57983" w14:textId="77777777" w:rsidTr="00B24BA3">
              <w:tc>
                <w:tcPr>
                  <w:tcW w:w="1577" w:type="dxa"/>
                  <w:shd w:val="clear" w:color="auto" w:fill="F2F2F2" w:themeFill="background1" w:themeFillShade="F2"/>
                </w:tcPr>
                <w:p w14:paraId="51697324" w14:textId="77777777" w:rsidR="00B24BA3" w:rsidRPr="00E01027" w:rsidRDefault="00B24BA3" w:rsidP="00B24BA3">
                  <w:pPr>
                    <w:jc w:val="center"/>
                    <w:rPr>
                      <w:b/>
                    </w:rPr>
                  </w:pPr>
                </w:p>
              </w:tc>
              <w:tc>
                <w:tcPr>
                  <w:tcW w:w="3509" w:type="dxa"/>
                  <w:gridSpan w:val="3"/>
                  <w:shd w:val="clear" w:color="auto" w:fill="F2F2F2" w:themeFill="background1" w:themeFillShade="F2"/>
                </w:tcPr>
                <w:p w14:paraId="55730B50" w14:textId="77777777" w:rsidR="00B24BA3" w:rsidRPr="00E01027" w:rsidRDefault="00B24BA3" w:rsidP="00B24BA3">
                  <w:pPr>
                    <w:jc w:val="center"/>
                    <w:rPr>
                      <w:b/>
                    </w:rPr>
                  </w:pPr>
                  <w:r w:rsidRPr="00E01027">
                    <w:rPr>
                      <w:b/>
                    </w:rPr>
                    <w:t>At Expected Standard</w:t>
                  </w:r>
                </w:p>
              </w:tc>
              <w:tc>
                <w:tcPr>
                  <w:tcW w:w="3509" w:type="dxa"/>
                  <w:gridSpan w:val="3"/>
                  <w:shd w:val="clear" w:color="auto" w:fill="F2F2F2" w:themeFill="background1" w:themeFillShade="F2"/>
                </w:tcPr>
                <w:p w14:paraId="3985D0BB" w14:textId="77777777" w:rsidR="00B24BA3" w:rsidRPr="00E01027" w:rsidRDefault="00B24BA3" w:rsidP="00B24BA3">
                  <w:pPr>
                    <w:jc w:val="center"/>
                    <w:rPr>
                      <w:b/>
                    </w:rPr>
                  </w:pPr>
                  <w:r w:rsidRPr="00E01027">
                    <w:rPr>
                      <w:b/>
                    </w:rPr>
                    <w:t>At the Higher Standard</w:t>
                  </w:r>
                </w:p>
              </w:tc>
            </w:tr>
            <w:tr w:rsidR="00B24BA3" w:rsidRPr="00E01027" w14:paraId="0FFA8BC3" w14:textId="77777777" w:rsidTr="00B24BA3">
              <w:tc>
                <w:tcPr>
                  <w:tcW w:w="1577" w:type="dxa"/>
                  <w:shd w:val="clear" w:color="auto" w:fill="F2F2F2" w:themeFill="background1" w:themeFillShade="F2"/>
                </w:tcPr>
                <w:p w14:paraId="30337FCA" w14:textId="77777777" w:rsidR="00B24BA3" w:rsidRPr="00E01027" w:rsidRDefault="00B24BA3" w:rsidP="00B24BA3">
                  <w:pPr>
                    <w:jc w:val="center"/>
                    <w:rPr>
                      <w:b/>
                    </w:rPr>
                  </w:pPr>
                </w:p>
              </w:tc>
              <w:tc>
                <w:tcPr>
                  <w:tcW w:w="1523" w:type="dxa"/>
                  <w:tcBorders>
                    <w:bottom w:val="single" w:sz="4" w:space="0" w:color="auto"/>
                  </w:tcBorders>
                  <w:shd w:val="clear" w:color="auto" w:fill="F2F2F2" w:themeFill="background1" w:themeFillShade="F2"/>
                </w:tcPr>
                <w:p w14:paraId="42BA431F" w14:textId="77777777" w:rsidR="00B24BA3" w:rsidRPr="00890B01" w:rsidRDefault="00B24BA3" w:rsidP="00B24BA3">
                  <w:pPr>
                    <w:rPr>
                      <w:b/>
                      <w:sz w:val="20"/>
                      <w:szCs w:val="20"/>
                    </w:rPr>
                  </w:pPr>
                  <w:r w:rsidRPr="00890B01">
                    <w:rPr>
                      <w:b/>
                      <w:sz w:val="20"/>
                      <w:szCs w:val="20"/>
                    </w:rPr>
                    <w:t>Disadvantaged</w:t>
                  </w:r>
                </w:p>
              </w:tc>
              <w:tc>
                <w:tcPr>
                  <w:tcW w:w="851" w:type="dxa"/>
                  <w:tcBorders>
                    <w:bottom w:val="single" w:sz="4" w:space="0" w:color="auto"/>
                  </w:tcBorders>
                  <w:shd w:val="clear" w:color="auto" w:fill="F2F2F2" w:themeFill="background1" w:themeFillShade="F2"/>
                </w:tcPr>
                <w:p w14:paraId="7EADD4D3" w14:textId="77777777" w:rsidR="00B24BA3" w:rsidRPr="00890B01" w:rsidRDefault="00B24BA3" w:rsidP="00B24BA3">
                  <w:pPr>
                    <w:rPr>
                      <w:b/>
                      <w:sz w:val="20"/>
                      <w:szCs w:val="20"/>
                    </w:rPr>
                  </w:pPr>
                  <w:r w:rsidRPr="00890B01">
                    <w:rPr>
                      <w:b/>
                      <w:sz w:val="20"/>
                      <w:szCs w:val="20"/>
                    </w:rPr>
                    <w:t>Others</w:t>
                  </w:r>
                </w:p>
              </w:tc>
              <w:tc>
                <w:tcPr>
                  <w:tcW w:w="1135" w:type="dxa"/>
                  <w:tcBorders>
                    <w:bottom w:val="single" w:sz="4" w:space="0" w:color="auto"/>
                  </w:tcBorders>
                  <w:shd w:val="clear" w:color="auto" w:fill="F2F2F2" w:themeFill="background1" w:themeFillShade="F2"/>
                </w:tcPr>
                <w:p w14:paraId="6DCA9750" w14:textId="77777777" w:rsidR="00B24BA3" w:rsidRPr="00890B01" w:rsidRDefault="00B24BA3" w:rsidP="00B24BA3">
                  <w:pPr>
                    <w:rPr>
                      <w:b/>
                      <w:sz w:val="20"/>
                      <w:szCs w:val="20"/>
                    </w:rPr>
                  </w:pPr>
                  <w:r w:rsidRPr="00890B01">
                    <w:rPr>
                      <w:b/>
                      <w:sz w:val="20"/>
                      <w:szCs w:val="20"/>
                    </w:rPr>
                    <w:t xml:space="preserve">Difference </w:t>
                  </w:r>
                </w:p>
              </w:tc>
              <w:tc>
                <w:tcPr>
                  <w:tcW w:w="1523" w:type="dxa"/>
                  <w:tcBorders>
                    <w:bottom w:val="single" w:sz="4" w:space="0" w:color="auto"/>
                  </w:tcBorders>
                  <w:shd w:val="clear" w:color="auto" w:fill="F2F2F2" w:themeFill="background1" w:themeFillShade="F2"/>
                </w:tcPr>
                <w:p w14:paraId="101BD13A" w14:textId="77777777" w:rsidR="00B24BA3" w:rsidRPr="00890B01" w:rsidRDefault="00B24BA3" w:rsidP="00B24BA3">
                  <w:pPr>
                    <w:rPr>
                      <w:b/>
                      <w:sz w:val="20"/>
                      <w:szCs w:val="20"/>
                    </w:rPr>
                  </w:pPr>
                  <w:r w:rsidRPr="00890B01">
                    <w:rPr>
                      <w:b/>
                      <w:sz w:val="20"/>
                      <w:szCs w:val="20"/>
                    </w:rPr>
                    <w:t>Disadvantaged</w:t>
                  </w:r>
                </w:p>
              </w:tc>
              <w:tc>
                <w:tcPr>
                  <w:tcW w:w="851" w:type="dxa"/>
                  <w:tcBorders>
                    <w:bottom w:val="single" w:sz="4" w:space="0" w:color="auto"/>
                  </w:tcBorders>
                  <w:shd w:val="clear" w:color="auto" w:fill="F2F2F2" w:themeFill="background1" w:themeFillShade="F2"/>
                </w:tcPr>
                <w:p w14:paraId="1636469C" w14:textId="77777777" w:rsidR="00B24BA3" w:rsidRPr="00890B01" w:rsidRDefault="00B24BA3" w:rsidP="00B24BA3">
                  <w:pPr>
                    <w:rPr>
                      <w:b/>
                      <w:sz w:val="20"/>
                      <w:szCs w:val="20"/>
                    </w:rPr>
                  </w:pPr>
                  <w:r w:rsidRPr="00890B01">
                    <w:rPr>
                      <w:b/>
                      <w:sz w:val="20"/>
                      <w:szCs w:val="20"/>
                    </w:rPr>
                    <w:t>Others</w:t>
                  </w:r>
                </w:p>
              </w:tc>
              <w:tc>
                <w:tcPr>
                  <w:tcW w:w="1135" w:type="dxa"/>
                  <w:tcBorders>
                    <w:bottom w:val="single" w:sz="4" w:space="0" w:color="auto"/>
                  </w:tcBorders>
                  <w:shd w:val="clear" w:color="auto" w:fill="F2F2F2" w:themeFill="background1" w:themeFillShade="F2"/>
                </w:tcPr>
                <w:p w14:paraId="3B3F8C6A" w14:textId="77777777" w:rsidR="00B24BA3" w:rsidRPr="00890B01" w:rsidRDefault="00B24BA3" w:rsidP="00B24BA3">
                  <w:pPr>
                    <w:rPr>
                      <w:b/>
                      <w:sz w:val="20"/>
                      <w:szCs w:val="20"/>
                    </w:rPr>
                  </w:pPr>
                  <w:r w:rsidRPr="00890B01">
                    <w:rPr>
                      <w:b/>
                      <w:sz w:val="20"/>
                      <w:szCs w:val="20"/>
                    </w:rPr>
                    <w:t xml:space="preserve">Difference </w:t>
                  </w:r>
                </w:p>
              </w:tc>
            </w:tr>
            <w:tr w:rsidR="00B24BA3" w:rsidRPr="00EC46EE" w14:paraId="60F9495E" w14:textId="77777777" w:rsidTr="00B24BA3">
              <w:tc>
                <w:tcPr>
                  <w:tcW w:w="1577" w:type="dxa"/>
                  <w:shd w:val="clear" w:color="auto" w:fill="F2F2F2" w:themeFill="background1" w:themeFillShade="F2"/>
                </w:tcPr>
                <w:p w14:paraId="19D075BC" w14:textId="77777777" w:rsidR="00B24BA3" w:rsidRPr="00E01027" w:rsidRDefault="00B24BA3" w:rsidP="00B24BA3">
                  <w:pPr>
                    <w:rPr>
                      <w:b/>
                    </w:rPr>
                  </w:pPr>
                  <w:r w:rsidRPr="00E01027">
                    <w:rPr>
                      <w:b/>
                    </w:rPr>
                    <w:t>National 2024</w:t>
                  </w:r>
                </w:p>
              </w:tc>
              <w:tc>
                <w:tcPr>
                  <w:tcW w:w="1523" w:type="dxa"/>
                  <w:shd w:val="clear" w:color="auto" w:fill="DAEEF3" w:themeFill="accent5" w:themeFillTint="33"/>
                </w:tcPr>
                <w:p w14:paraId="6D41621E" w14:textId="77777777" w:rsidR="00B24BA3" w:rsidRPr="00E01027" w:rsidRDefault="00B24BA3" w:rsidP="00B24BA3">
                  <w:pPr>
                    <w:jc w:val="center"/>
                  </w:pPr>
                  <w:r w:rsidRPr="00E01027">
                    <w:t>62%</w:t>
                  </w:r>
                </w:p>
              </w:tc>
              <w:tc>
                <w:tcPr>
                  <w:tcW w:w="851" w:type="dxa"/>
                  <w:shd w:val="clear" w:color="auto" w:fill="DAEEF3" w:themeFill="accent5" w:themeFillTint="33"/>
                </w:tcPr>
                <w:p w14:paraId="005E1B47" w14:textId="77777777" w:rsidR="00B24BA3" w:rsidRPr="00E01027" w:rsidRDefault="00B24BA3" w:rsidP="00B24BA3">
                  <w:pPr>
                    <w:jc w:val="center"/>
                  </w:pPr>
                  <w:r w:rsidRPr="00E01027">
                    <w:t>79%</w:t>
                  </w:r>
                </w:p>
              </w:tc>
              <w:tc>
                <w:tcPr>
                  <w:tcW w:w="1135" w:type="dxa"/>
                  <w:shd w:val="clear" w:color="auto" w:fill="DAEEF3" w:themeFill="accent5" w:themeFillTint="33"/>
                </w:tcPr>
                <w:p w14:paraId="3549285E" w14:textId="77777777" w:rsidR="00B24BA3" w:rsidRPr="00E01027" w:rsidRDefault="00B24BA3" w:rsidP="00B24BA3">
                  <w:pPr>
                    <w:jc w:val="center"/>
                  </w:pPr>
                  <w:r w:rsidRPr="00E01027">
                    <w:t>-17%</w:t>
                  </w:r>
                </w:p>
              </w:tc>
              <w:tc>
                <w:tcPr>
                  <w:tcW w:w="1523" w:type="dxa"/>
                  <w:shd w:val="clear" w:color="auto" w:fill="DAEEF3" w:themeFill="accent5" w:themeFillTint="33"/>
                </w:tcPr>
                <w:p w14:paraId="529E731E" w14:textId="77777777" w:rsidR="00B24BA3" w:rsidRPr="00E01027" w:rsidRDefault="00B24BA3" w:rsidP="00B24BA3">
                  <w:pPr>
                    <w:jc w:val="center"/>
                    <w:rPr>
                      <w:color w:val="5F497A" w:themeColor="accent4" w:themeShade="BF"/>
                    </w:rPr>
                  </w:pPr>
                  <w:r w:rsidRPr="00E01027">
                    <w:rPr>
                      <w:color w:val="5F497A" w:themeColor="accent4" w:themeShade="BF"/>
                    </w:rPr>
                    <w:t>-</w:t>
                  </w:r>
                </w:p>
              </w:tc>
              <w:tc>
                <w:tcPr>
                  <w:tcW w:w="851" w:type="dxa"/>
                  <w:shd w:val="clear" w:color="auto" w:fill="DAEEF3" w:themeFill="accent5" w:themeFillTint="33"/>
                </w:tcPr>
                <w:p w14:paraId="23B32D60" w14:textId="77777777" w:rsidR="00B24BA3" w:rsidRPr="00E01027" w:rsidRDefault="00B24BA3" w:rsidP="00B24BA3">
                  <w:pPr>
                    <w:jc w:val="center"/>
                    <w:rPr>
                      <w:color w:val="E36C0A" w:themeColor="accent6" w:themeShade="BF"/>
                    </w:rPr>
                  </w:pPr>
                  <w:r w:rsidRPr="00E01027">
                    <w:rPr>
                      <w:color w:val="E36C0A" w:themeColor="accent6" w:themeShade="BF"/>
                    </w:rPr>
                    <w:t>-</w:t>
                  </w:r>
                </w:p>
              </w:tc>
              <w:tc>
                <w:tcPr>
                  <w:tcW w:w="1135" w:type="dxa"/>
                  <w:shd w:val="clear" w:color="auto" w:fill="DAEEF3" w:themeFill="accent5" w:themeFillTint="33"/>
                </w:tcPr>
                <w:p w14:paraId="2BE08FCC" w14:textId="77777777" w:rsidR="00B24BA3" w:rsidRPr="00E01027" w:rsidRDefault="00B24BA3" w:rsidP="00B24BA3">
                  <w:pPr>
                    <w:jc w:val="center"/>
                    <w:rPr>
                      <w:i/>
                    </w:rPr>
                  </w:pPr>
                  <w:r w:rsidRPr="00E01027">
                    <w:rPr>
                      <w:i/>
                    </w:rPr>
                    <w:t>-</w:t>
                  </w:r>
                </w:p>
              </w:tc>
            </w:tr>
            <w:tr w:rsidR="00B24BA3" w:rsidRPr="00EC46EE" w14:paraId="5D414DAD" w14:textId="77777777" w:rsidTr="00B24BA3">
              <w:tc>
                <w:tcPr>
                  <w:tcW w:w="1577" w:type="dxa"/>
                  <w:shd w:val="clear" w:color="auto" w:fill="F2F2F2" w:themeFill="background1" w:themeFillShade="F2"/>
                </w:tcPr>
                <w:p w14:paraId="56808732" w14:textId="77777777" w:rsidR="00B24BA3" w:rsidRPr="00E01027" w:rsidRDefault="00B24BA3" w:rsidP="00B24BA3">
                  <w:pPr>
                    <w:rPr>
                      <w:b/>
                      <w:color w:val="000000" w:themeColor="text1"/>
                    </w:rPr>
                  </w:pPr>
                  <w:r w:rsidRPr="00E01027">
                    <w:rPr>
                      <w:b/>
                      <w:color w:val="000000" w:themeColor="text1"/>
                    </w:rPr>
                    <w:t>Birmingham 2024</w:t>
                  </w:r>
                </w:p>
              </w:tc>
              <w:tc>
                <w:tcPr>
                  <w:tcW w:w="1523" w:type="dxa"/>
                  <w:shd w:val="clear" w:color="auto" w:fill="DAEEF3" w:themeFill="accent5" w:themeFillTint="33"/>
                </w:tcPr>
                <w:p w14:paraId="1BCF6029" w14:textId="77777777" w:rsidR="00B24BA3" w:rsidRPr="00E01027" w:rsidRDefault="00B24BA3" w:rsidP="00B24BA3">
                  <w:pPr>
                    <w:jc w:val="center"/>
                    <w:rPr>
                      <w:color w:val="000000" w:themeColor="text1"/>
                    </w:rPr>
                  </w:pPr>
                  <w:r w:rsidRPr="00E01027">
                    <w:rPr>
                      <w:color w:val="000000" w:themeColor="text1"/>
                    </w:rPr>
                    <w:t>65.1%</w:t>
                  </w:r>
                </w:p>
              </w:tc>
              <w:tc>
                <w:tcPr>
                  <w:tcW w:w="851" w:type="dxa"/>
                  <w:shd w:val="clear" w:color="auto" w:fill="DAEEF3" w:themeFill="accent5" w:themeFillTint="33"/>
                </w:tcPr>
                <w:p w14:paraId="7DA8B3F2" w14:textId="77777777" w:rsidR="00B24BA3" w:rsidRPr="00E01027" w:rsidRDefault="00B24BA3" w:rsidP="00B24BA3">
                  <w:pPr>
                    <w:jc w:val="center"/>
                    <w:rPr>
                      <w:color w:val="000000" w:themeColor="text1"/>
                    </w:rPr>
                  </w:pPr>
                  <w:r w:rsidRPr="00E01027">
                    <w:rPr>
                      <w:color w:val="000000" w:themeColor="text1"/>
                    </w:rPr>
                    <w:t>77.8%</w:t>
                  </w:r>
                </w:p>
              </w:tc>
              <w:tc>
                <w:tcPr>
                  <w:tcW w:w="1135" w:type="dxa"/>
                  <w:shd w:val="clear" w:color="auto" w:fill="DAEEF3" w:themeFill="accent5" w:themeFillTint="33"/>
                </w:tcPr>
                <w:p w14:paraId="4C0C4DD0" w14:textId="77777777" w:rsidR="00B24BA3" w:rsidRPr="00E01027" w:rsidRDefault="00B24BA3" w:rsidP="00B24BA3">
                  <w:pPr>
                    <w:jc w:val="center"/>
                    <w:rPr>
                      <w:color w:val="000000" w:themeColor="text1"/>
                    </w:rPr>
                  </w:pPr>
                  <w:r w:rsidRPr="00E01027">
                    <w:rPr>
                      <w:color w:val="000000" w:themeColor="text1"/>
                    </w:rPr>
                    <w:t>-12.7%</w:t>
                  </w:r>
                </w:p>
              </w:tc>
              <w:tc>
                <w:tcPr>
                  <w:tcW w:w="1523" w:type="dxa"/>
                  <w:shd w:val="clear" w:color="auto" w:fill="DAEEF3" w:themeFill="accent5" w:themeFillTint="33"/>
                </w:tcPr>
                <w:p w14:paraId="0F120AFE" w14:textId="77777777" w:rsidR="00B24BA3" w:rsidRPr="00E01027" w:rsidRDefault="00B24BA3" w:rsidP="00B24BA3">
                  <w:pPr>
                    <w:jc w:val="center"/>
                    <w:rPr>
                      <w:color w:val="000000" w:themeColor="text1"/>
                    </w:rPr>
                  </w:pPr>
                  <w:r w:rsidRPr="00E01027">
                    <w:rPr>
                      <w:color w:val="000000" w:themeColor="text1"/>
                    </w:rPr>
                    <w:t>20.3%</w:t>
                  </w:r>
                </w:p>
              </w:tc>
              <w:tc>
                <w:tcPr>
                  <w:tcW w:w="851" w:type="dxa"/>
                  <w:shd w:val="clear" w:color="auto" w:fill="DAEEF3" w:themeFill="accent5" w:themeFillTint="33"/>
                </w:tcPr>
                <w:p w14:paraId="423C715D" w14:textId="77777777" w:rsidR="00B24BA3" w:rsidRPr="00E01027" w:rsidRDefault="00B24BA3" w:rsidP="00B24BA3">
                  <w:pPr>
                    <w:jc w:val="center"/>
                    <w:rPr>
                      <w:color w:val="000000" w:themeColor="text1"/>
                    </w:rPr>
                  </w:pPr>
                  <w:r w:rsidRPr="00E01027">
                    <w:rPr>
                      <w:color w:val="000000" w:themeColor="text1"/>
                    </w:rPr>
                    <w:t>32.4%</w:t>
                  </w:r>
                </w:p>
              </w:tc>
              <w:tc>
                <w:tcPr>
                  <w:tcW w:w="1135" w:type="dxa"/>
                  <w:shd w:val="clear" w:color="auto" w:fill="DAEEF3" w:themeFill="accent5" w:themeFillTint="33"/>
                </w:tcPr>
                <w:p w14:paraId="23D5D461" w14:textId="77777777" w:rsidR="00B24BA3" w:rsidRPr="00E01027" w:rsidRDefault="00B24BA3" w:rsidP="00B24BA3">
                  <w:pPr>
                    <w:jc w:val="center"/>
                    <w:rPr>
                      <w:i/>
                      <w:color w:val="000000" w:themeColor="text1"/>
                    </w:rPr>
                  </w:pPr>
                  <w:r w:rsidRPr="00E01027">
                    <w:rPr>
                      <w:i/>
                      <w:color w:val="000000" w:themeColor="text1"/>
                    </w:rPr>
                    <w:t>-12.1</w:t>
                  </w:r>
                </w:p>
              </w:tc>
            </w:tr>
            <w:tr w:rsidR="00B24BA3" w:rsidRPr="00EC46EE" w14:paraId="421AEA5B" w14:textId="77777777" w:rsidTr="00B24BA3">
              <w:tc>
                <w:tcPr>
                  <w:tcW w:w="1577" w:type="dxa"/>
                  <w:shd w:val="clear" w:color="auto" w:fill="F2F2F2" w:themeFill="background1" w:themeFillShade="F2"/>
                </w:tcPr>
                <w:p w14:paraId="2D4DC7C8" w14:textId="77777777" w:rsidR="00B24BA3" w:rsidRPr="0053432B" w:rsidRDefault="00B24BA3" w:rsidP="00B24BA3">
                  <w:pPr>
                    <w:rPr>
                      <w:b/>
                    </w:rPr>
                  </w:pPr>
                  <w:r w:rsidRPr="0053432B">
                    <w:rPr>
                      <w:b/>
                    </w:rPr>
                    <w:t>Year 6 202</w:t>
                  </w:r>
                  <w:r>
                    <w:rPr>
                      <w:b/>
                    </w:rPr>
                    <w:t>4</w:t>
                  </w:r>
                </w:p>
              </w:tc>
              <w:tc>
                <w:tcPr>
                  <w:tcW w:w="1523" w:type="dxa"/>
                  <w:shd w:val="clear" w:color="auto" w:fill="DAEEF3" w:themeFill="accent5" w:themeFillTint="33"/>
                </w:tcPr>
                <w:p w14:paraId="1BF606A5" w14:textId="77777777" w:rsidR="00B24BA3" w:rsidRPr="0051792E" w:rsidRDefault="00B24BA3" w:rsidP="00B24BA3">
                  <w:pPr>
                    <w:jc w:val="center"/>
                  </w:pPr>
                  <w:r>
                    <w:t>64.6%%</w:t>
                  </w:r>
                </w:p>
              </w:tc>
              <w:tc>
                <w:tcPr>
                  <w:tcW w:w="851" w:type="dxa"/>
                  <w:shd w:val="clear" w:color="auto" w:fill="DAEEF3" w:themeFill="accent5" w:themeFillTint="33"/>
                </w:tcPr>
                <w:p w14:paraId="4869AA41" w14:textId="77777777" w:rsidR="00B24BA3" w:rsidRPr="0051792E" w:rsidRDefault="00B24BA3" w:rsidP="00B24BA3">
                  <w:pPr>
                    <w:jc w:val="center"/>
                  </w:pPr>
                  <w:r>
                    <w:t>70.2%</w:t>
                  </w:r>
                </w:p>
              </w:tc>
              <w:tc>
                <w:tcPr>
                  <w:tcW w:w="1135" w:type="dxa"/>
                  <w:shd w:val="clear" w:color="auto" w:fill="DAEEF3" w:themeFill="accent5" w:themeFillTint="33"/>
                </w:tcPr>
                <w:p w14:paraId="18B54FF0" w14:textId="77777777" w:rsidR="00B24BA3" w:rsidRPr="0051792E" w:rsidRDefault="00B24BA3" w:rsidP="00B24BA3">
                  <w:pPr>
                    <w:jc w:val="center"/>
                  </w:pPr>
                  <w:r>
                    <w:t>-5.6</w:t>
                  </w:r>
                </w:p>
              </w:tc>
              <w:tc>
                <w:tcPr>
                  <w:tcW w:w="1523" w:type="dxa"/>
                  <w:shd w:val="clear" w:color="auto" w:fill="DAEEF3" w:themeFill="accent5" w:themeFillTint="33"/>
                </w:tcPr>
                <w:p w14:paraId="7EC8793C" w14:textId="77777777" w:rsidR="00B24BA3" w:rsidRPr="0051792E" w:rsidRDefault="00B24BA3" w:rsidP="00B24BA3">
                  <w:pPr>
                    <w:jc w:val="center"/>
                  </w:pPr>
                  <w:r>
                    <w:t>16.7%</w:t>
                  </w:r>
                </w:p>
              </w:tc>
              <w:tc>
                <w:tcPr>
                  <w:tcW w:w="851" w:type="dxa"/>
                  <w:shd w:val="clear" w:color="auto" w:fill="DAEEF3" w:themeFill="accent5" w:themeFillTint="33"/>
                </w:tcPr>
                <w:p w14:paraId="6BDFE4D6" w14:textId="77777777" w:rsidR="00B24BA3" w:rsidRPr="0051792E" w:rsidRDefault="00B24BA3" w:rsidP="00B24BA3">
                  <w:pPr>
                    <w:jc w:val="center"/>
                  </w:pPr>
                  <w:r>
                    <w:t>23.4%</w:t>
                  </w:r>
                </w:p>
              </w:tc>
              <w:tc>
                <w:tcPr>
                  <w:tcW w:w="1135" w:type="dxa"/>
                  <w:shd w:val="clear" w:color="auto" w:fill="DAEEF3" w:themeFill="accent5" w:themeFillTint="33"/>
                </w:tcPr>
                <w:p w14:paraId="075AD145" w14:textId="77777777" w:rsidR="00B24BA3" w:rsidRPr="0051792E" w:rsidRDefault="00B24BA3" w:rsidP="00B24BA3">
                  <w:pPr>
                    <w:jc w:val="center"/>
                  </w:pPr>
                  <w:r>
                    <w:t>-6.7%</w:t>
                  </w:r>
                </w:p>
              </w:tc>
            </w:tr>
            <w:tr w:rsidR="00B24BA3" w:rsidRPr="00EC46EE" w14:paraId="1600FF3F" w14:textId="77777777" w:rsidTr="00B24BA3">
              <w:tc>
                <w:tcPr>
                  <w:tcW w:w="1577" w:type="dxa"/>
                  <w:shd w:val="clear" w:color="auto" w:fill="F2F2F2" w:themeFill="background1" w:themeFillShade="F2"/>
                </w:tcPr>
                <w:p w14:paraId="1D9D77EF" w14:textId="77777777" w:rsidR="00B24BA3" w:rsidRPr="0053432B" w:rsidRDefault="00B24BA3" w:rsidP="00B24BA3">
                  <w:pPr>
                    <w:rPr>
                      <w:b/>
                    </w:rPr>
                  </w:pPr>
                  <w:r w:rsidRPr="0053432B">
                    <w:rPr>
                      <w:b/>
                    </w:rPr>
                    <w:t xml:space="preserve">Year 6 </w:t>
                  </w:r>
                </w:p>
                <w:p w14:paraId="3D0EBB41" w14:textId="77777777" w:rsidR="00B24BA3" w:rsidRPr="0053432B" w:rsidRDefault="00B24BA3" w:rsidP="00B24BA3">
                  <w:pPr>
                    <w:rPr>
                      <w:b/>
                    </w:rPr>
                  </w:pPr>
                  <w:r w:rsidRPr="0053432B">
                    <w:rPr>
                      <w:b/>
                    </w:rPr>
                    <w:t>No SEN</w:t>
                  </w:r>
                </w:p>
              </w:tc>
              <w:tc>
                <w:tcPr>
                  <w:tcW w:w="1523" w:type="dxa"/>
                  <w:shd w:val="clear" w:color="auto" w:fill="DAEEF3" w:themeFill="accent5" w:themeFillTint="33"/>
                </w:tcPr>
                <w:p w14:paraId="793285A0" w14:textId="77777777" w:rsidR="00B24BA3" w:rsidRPr="0051792E" w:rsidRDefault="00B24BA3" w:rsidP="00B24BA3">
                  <w:pPr>
                    <w:jc w:val="center"/>
                  </w:pPr>
                  <w:r>
                    <w:t>65.52%</w:t>
                  </w:r>
                </w:p>
              </w:tc>
              <w:tc>
                <w:tcPr>
                  <w:tcW w:w="851" w:type="dxa"/>
                  <w:shd w:val="clear" w:color="auto" w:fill="DAEEF3" w:themeFill="accent5" w:themeFillTint="33"/>
                </w:tcPr>
                <w:p w14:paraId="223D433D" w14:textId="77777777" w:rsidR="00B24BA3" w:rsidRPr="0051792E" w:rsidRDefault="00B24BA3" w:rsidP="00B24BA3">
                  <w:r>
                    <w:t>75.61%</w:t>
                  </w:r>
                </w:p>
              </w:tc>
              <w:tc>
                <w:tcPr>
                  <w:tcW w:w="1135" w:type="dxa"/>
                  <w:shd w:val="clear" w:color="auto" w:fill="DAEEF3" w:themeFill="accent5" w:themeFillTint="33"/>
                </w:tcPr>
                <w:p w14:paraId="2349353B" w14:textId="77777777" w:rsidR="00B24BA3" w:rsidRPr="0051792E" w:rsidRDefault="00B24BA3" w:rsidP="00B24BA3">
                  <w:pPr>
                    <w:jc w:val="center"/>
                  </w:pPr>
                  <w:r>
                    <w:t>-10.09</w:t>
                  </w:r>
                </w:p>
              </w:tc>
              <w:tc>
                <w:tcPr>
                  <w:tcW w:w="1523" w:type="dxa"/>
                  <w:shd w:val="clear" w:color="auto" w:fill="DAEEF3" w:themeFill="accent5" w:themeFillTint="33"/>
                </w:tcPr>
                <w:p w14:paraId="4A8BE981" w14:textId="77777777" w:rsidR="00B24BA3" w:rsidRPr="00983A09" w:rsidRDefault="00B24BA3" w:rsidP="00B24BA3">
                  <w:pPr>
                    <w:jc w:val="center"/>
                  </w:pPr>
                  <w:r w:rsidRPr="00983A09">
                    <w:t>17.24%</w:t>
                  </w:r>
                </w:p>
              </w:tc>
              <w:tc>
                <w:tcPr>
                  <w:tcW w:w="851" w:type="dxa"/>
                  <w:shd w:val="clear" w:color="auto" w:fill="DAEEF3" w:themeFill="accent5" w:themeFillTint="33"/>
                </w:tcPr>
                <w:p w14:paraId="7489E83B" w14:textId="77777777" w:rsidR="00B24BA3" w:rsidRPr="00983A09" w:rsidRDefault="00B24BA3" w:rsidP="00B24BA3">
                  <w:pPr>
                    <w:jc w:val="center"/>
                  </w:pPr>
                  <w:r w:rsidRPr="00983A09">
                    <w:t>31.71</w:t>
                  </w:r>
                </w:p>
              </w:tc>
              <w:tc>
                <w:tcPr>
                  <w:tcW w:w="1135" w:type="dxa"/>
                  <w:shd w:val="clear" w:color="auto" w:fill="DAEEF3" w:themeFill="accent5" w:themeFillTint="33"/>
                </w:tcPr>
                <w:p w14:paraId="699F0EA0" w14:textId="77777777" w:rsidR="00B24BA3" w:rsidRPr="0051792E" w:rsidRDefault="00B24BA3" w:rsidP="00B24BA3">
                  <w:pPr>
                    <w:jc w:val="center"/>
                  </w:pPr>
                  <w:r>
                    <w:t>-14.47</w:t>
                  </w:r>
                </w:p>
              </w:tc>
            </w:tr>
            <w:tr w:rsidR="00B24BA3" w:rsidRPr="00EC46EE" w14:paraId="45786DAC" w14:textId="77777777" w:rsidTr="00B24BA3">
              <w:tc>
                <w:tcPr>
                  <w:tcW w:w="1577" w:type="dxa"/>
                  <w:shd w:val="clear" w:color="auto" w:fill="F2F2F2" w:themeFill="background1" w:themeFillShade="F2"/>
                </w:tcPr>
                <w:p w14:paraId="3F4CD5AD" w14:textId="77777777" w:rsidR="00B24BA3" w:rsidRPr="0053432B" w:rsidRDefault="00B24BA3" w:rsidP="00B24BA3">
                  <w:pPr>
                    <w:rPr>
                      <w:b/>
                    </w:rPr>
                  </w:pPr>
                  <w:r w:rsidRPr="0053432B">
                    <w:rPr>
                      <w:b/>
                    </w:rPr>
                    <w:t>Year 5</w:t>
                  </w:r>
                </w:p>
              </w:tc>
              <w:tc>
                <w:tcPr>
                  <w:tcW w:w="1523" w:type="dxa"/>
                </w:tcPr>
                <w:p w14:paraId="01AE13C3" w14:textId="77777777" w:rsidR="00B24BA3" w:rsidRPr="0051792E" w:rsidRDefault="00B24BA3" w:rsidP="00B24BA3">
                  <w:pPr>
                    <w:jc w:val="center"/>
                  </w:pPr>
                  <w:r>
                    <w:t>65.22%</w:t>
                  </w:r>
                </w:p>
              </w:tc>
              <w:tc>
                <w:tcPr>
                  <w:tcW w:w="851" w:type="dxa"/>
                </w:tcPr>
                <w:p w14:paraId="0E38BF03" w14:textId="77777777" w:rsidR="00B24BA3" w:rsidRPr="0051792E" w:rsidRDefault="00B24BA3" w:rsidP="00B24BA3">
                  <w:pPr>
                    <w:jc w:val="center"/>
                  </w:pPr>
                  <w:r>
                    <w:t>84.44%</w:t>
                  </w:r>
                </w:p>
              </w:tc>
              <w:tc>
                <w:tcPr>
                  <w:tcW w:w="1135" w:type="dxa"/>
                </w:tcPr>
                <w:p w14:paraId="32049F26" w14:textId="77777777" w:rsidR="00B24BA3" w:rsidRPr="0051792E" w:rsidRDefault="00B24BA3" w:rsidP="00B24BA3">
                  <w:pPr>
                    <w:jc w:val="center"/>
                  </w:pPr>
                  <w:r>
                    <w:t>-19.22</w:t>
                  </w:r>
                </w:p>
              </w:tc>
              <w:tc>
                <w:tcPr>
                  <w:tcW w:w="1523" w:type="dxa"/>
                </w:tcPr>
                <w:p w14:paraId="765A431A" w14:textId="77777777" w:rsidR="00B24BA3" w:rsidRPr="00983A09" w:rsidRDefault="00B24BA3" w:rsidP="00B24BA3">
                  <w:pPr>
                    <w:jc w:val="center"/>
                  </w:pPr>
                  <w:r w:rsidRPr="00983A09">
                    <w:t>8.7%</w:t>
                  </w:r>
                </w:p>
              </w:tc>
              <w:tc>
                <w:tcPr>
                  <w:tcW w:w="851" w:type="dxa"/>
                </w:tcPr>
                <w:p w14:paraId="7FCD3587" w14:textId="77777777" w:rsidR="00B24BA3" w:rsidRPr="00983A09" w:rsidRDefault="00B24BA3" w:rsidP="00B24BA3">
                  <w:pPr>
                    <w:jc w:val="center"/>
                  </w:pPr>
                  <w:r w:rsidRPr="00983A09">
                    <w:t>8.89%</w:t>
                  </w:r>
                </w:p>
              </w:tc>
              <w:tc>
                <w:tcPr>
                  <w:tcW w:w="1135" w:type="dxa"/>
                </w:tcPr>
                <w:p w14:paraId="7E8B6A42" w14:textId="77777777" w:rsidR="00B24BA3" w:rsidRPr="004633F9" w:rsidRDefault="00B24BA3" w:rsidP="00B24BA3">
                  <w:pPr>
                    <w:jc w:val="center"/>
                  </w:pPr>
                  <w:r w:rsidRPr="004633F9">
                    <w:t>-0.19</w:t>
                  </w:r>
                </w:p>
              </w:tc>
            </w:tr>
            <w:tr w:rsidR="00B24BA3" w:rsidRPr="00EC46EE" w14:paraId="22F21F6E" w14:textId="77777777" w:rsidTr="00B24BA3">
              <w:tc>
                <w:tcPr>
                  <w:tcW w:w="1577" w:type="dxa"/>
                  <w:shd w:val="clear" w:color="auto" w:fill="F2F2F2" w:themeFill="background1" w:themeFillShade="F2"/>
                </w:tcPr>
                <w:p w14:paraId="38143787" w14:textId="77777777" w:rsidR="00B24BA3" w:rsidRPr="0053432B" w:rsidRDefault="00B24BA3" w:rsidP="00B24BA3">
                  <w:pPr>
                    <w:rPr>
                      <w:b/>
                    </w:rPr>
                  </w:pPr>
                  <w:r w:rsidRPr="0053432B">
                    <w:rPr>
                      <w:b/>
                    </w:rPr>
                    <w:t>Year 5 No SEN</w:t>
                  </w:r>
                </w:p>
              </w:tc>
              <w:tc>
                <w:tcPr>
                  <w:tcW w:w="1523" w:type="dxa"/>
                </w:tcPr>
                <w:p w14:paraId="7AA2F9ED" w14:textId="77777777" w:rsidR="00B24BA3" w:rsidRPr="0051792E" w:rsidRDefault="00B24BA3" w:rsidP="00B24BA3">
                  <w:pPr>
                    <w:jc w:val="center"/>
                  </w:pPr>
                  <w:r>
                    <w:t>85.71%</w:t>
                  </w:r>
                </w:p>
              </w:tc>
              <w:tc>
                <w:tcPr>
                  <w:tcW w:w="851" w:type="dxa"/>
                </w:tcPr>
                <w:p w14:paraId="595AE8AA" w14:textId="77777777" w:rsidR="00B24BA3" w:rsidRPr="0051792E" w:rsidRDefault="00B24BA3" w:rsidP="00B24BA3">
                  <w:pPr>
                    <w:jc w:val="center"/>
                  </w:pPr>
                  <w:r>
                    <w:t>94.29%</w:t>
                  </w:r>
                </w:p>
              </w:tc>
              <w:tc>
                <w:tcPr>
                  <w:tcW w:w="1135" w:type="dxa"/>
                </w:tcPr>
                <w:p w14:paraId="0F9CAD6F" w14:textId="77777777" w:rsidR="00B24BA3" w:rsidRPr="0051792E" w:rsidRDefault="00B24BA3" w:rsidP="00B24BA3">
                  <w:pPr>
                    <w:jc w:val="center"/>
                  </w:pPr>
                  <w:r>
                    <w:t>-8.58</w:t>
                  </w:r>
                </w:p>
              </w:tc>
              <w:tc>
                <w:tcPr>
                  <w:tcW w:w="1523" w:type="dxa"/>
                </w:tcPr>
                <w:p w14:paraId="08B62F7A" w14:textId="77777777" w:rsidR="00B24BA3" w:rsidRPr="00983A09" w:rsidRDefault="00B24BA3" w:rsidP="00B24BA3">
                  <w:pPr>
                    <w:jc w:val="center"/>
                  </w:pPr>
                  <w:r w:rsidRPr="00983A09">
                    <w:t>14.29%</w:t>
                  </w:r>
                </w:p>
              </w:tc>
              <w:tc>
                <w:tcPr>
                  <w:tcW w:w="851" w:type="dxa"/>
                </w:tcPr>
                <w:p w14:paraId="50481EFB" w14:textId="77777777" w:rsidR="00B24BA3" w:rsidRPr="00983A09" w:rsidRDefault="00B24BA3" w:rsidP="00B24BA3">
                  <w:pPr>
                    <w:jc w:val="center"/>
                  </w:pPr>
                  <w:r w:rsidRPr="00983A09">
                    <w:t>11.43%</w:t>
                  </w:r>
                </w:p>
              </w:tc>
              <w:tc>
                <w:tcPr>
                  <w:tcW w:w="1135" w:type="dxa"/>
                </w:tcPr>
                <w:p w14:paraId="79D95DD8" w14:textId="77777777" w:rsidR="00B24BA3" w:rsidRPr="004633F9" w:rsidRDefault="00B24BA3" w:rsidP="00B24BA3">
                  <w:pPr>
                    <w:jc w:val="center"/>
                  </w:pPr>
                  <w:r w:rsidRPr="004633F9">
                    <w:t>+2.86</w:t>
                  </w:r>
                </w:p>
              </w:tc>
            </w:tr>
            <w:tr w:rsidR="00B24BA3" w:rsidRPr="00EC46EE" w14:paraId="3258672A" w14:textId="77777777" w:rsidTr="00B24BA3">
              <w:tc>
                <w:tcPr>
                  <w:tcW w:w="1577" w:type="dxa"/>
                  <w:shd w:val="clear" w:color="auto" w:fill="F2F2F2" w:themeFill="background1" w:themeFillShade="F2"/>
                </w:tcPr>
                <w:p w14:paraId="3DAC9175" w14:textId="77777777" w:rsidR="00B24BA3" w:rsidRPr="0053432B" w:rsidRDefault="00B24BA3" w:rsidP="00B24BA3">
                  <w:pPr>
                    <w:rPr>
                      <w:b/>
                    </w:rPr>
                  </w:pPr>
                  <w:r w:rsidRPr="0053432B">
                    <w:rPr>
                      <w:b/>
                    </w:rPr>
                    <w:t>Year 4</w:t>
                  </w:r>
                </w:p>
              </w:tc>
              <w:tc>
                <w:tcPr>
                  <w:tcW w:w="1523" w:type="dxa"/>
                </w:tcPr>
                <w:p w14:paraId="20550ED2" w14:textId="77777777" w:rsidR="00B24BA3" w:rsidRPr="0051792E" w:rsidRDefault="00B24BA3" w:rsidP="00B24BA3">
                  <w:pPr>
                    <w:jc w:val="center"/>
                  </w:pPr>
                  <w:r>
                    <w:t>67.92%</w:t>
                  </w:r>
                </w:p>
              </w:tc>
              <w:tc>
                <w:tcPr>
                  <w:tcW w:w="851" w:type="dxa"/>
                </w:tcPr>
                <w:p w14:paraId="7A26558B" w14:textId="77777777" w:rsidR="00B24BA3" w:rsidRPr="0051792E" w:rsidRDefault="00B24BA3" w:rsidP="00B24BA3">
                  <w:pPr>
                    <w:jc w:val="center"/>
                  </w:pPr>
                  <w:r>
                    <w:t>85%</w:t>
                  </w:r>
                </w:p>
              </w:tc>
              <w:tc>
                <w:tcPr>
                  <w:tcW w:w="1135" w:type="dxa"/>
                </w:tcPr>
                <w:p w14:paraId="2BACABBC" w14:textId="77777777" w:rsidR="00B24BA3" w:rsidRPr="0051792E" w:rsidRDefault="00B24BA3" w:rsidP="00B24BA3">
                  <w:pPr>
                    <w:jc w:val="center"/>
                  </w:pPr>
                  <w:r>
                    <w:t>-17.08</w:t>
                  </w:r>
                </w:p>
              </w:tc>
              <w:tc>
                <w:tcPr>
                  <w:tcW w:w="1523" w:type="dxa"/>
                </w:tcPr>
                <w:p w14:paraId="1A45170D" w14:textId="77777777" w:rsidR="00B24BA3" w:rsidRPr="00983A09" w:rsidRDefault="00B24BA3" w:rsidP="00B24BA3">
                  <w:pPr>
                    <w:jc w:val="center"/>
                  </w:pPr>
                  <w:r w:rsidRPr="00983A09">
                    <w:t>1.89%</w:t>
                  </w:r>
                </w:p>
              </w:tc>
              <w:tc>
                <w:tcPr>
                  <w:tcW w:w="851" w:type="dxa"/>
                </w:tcPr>
                <w:p w14:paraId="679219B3" w14:textId="77777777" w:rsidR="00B24BA3" w:rsidRPr="00983A09" w:rsidRDefault="00B24BA3" w:rsidP="00B24BA3">
                  <w:pPr>
                    <w:jc w:val="center"/>
                  </w:pPr>
                  <w:r w:rsidRPr="00983A09">
                    <w:t>7.5%</w:t>
                  </w:r>
                </w:p>
              </w:tc>
              <w:tc>
                <w:tcPr>
                  <w:tcW w:w="1135" w:type="dxa"/>
                </w:tcPr>
                <w:p w14:paraId="6AF0C8E8" w14:textId="77777777" w:rsidR="00B24BA3" w:rsidRPr="00983A09" w:rsidRDefault="00B24BA3" w:rsidP="00B24BA3">
                  <w:pPr>
                    <w:jc w:val="center"/>
                  </w:pPr>
                  <w:r w:rsidRPr="00983A09">
                    <w:t>-5.61</w:t>
                  </w:r>
                </w:p>
              </w:tc>
            </w:tr>
            <w:tr w:rsidR="00B24BA3" w:rsidRPr="00EC46EE" w14:paraId="3328BA22" w14:textId="77777777" w:rsidTr="00B24BA3">
              <w:tc>
                <w:tcPr>
                  <w:tcW w:w="1577" w:type="dxa"/>
                  <w:shd w:val="clear" w:color="auto" w:fill="F2F2F2" w:themeFill="background1" w:themeFillShade="F2"/>
                </w:tcPr>
                <w:p w14:paraId="047A8BE8" w14:textId="77777777" w:rsidR="00B24BA3" w:rsidRPr="0053432B" w:rsidRDefault="00B24BA3" w:rsidP="00B24BA3">
                  <w:pPr>
                    <w:rPr>
                      <w:b/>
                    </w:rPr>
                  </w:pPr>
                  <w:r w:rsidRPr="0053432B">
                    <w:rPr>
                      <w:b/>
                    </w:rPr>
                    <w:t>Year 4 No SEN</w:t>
                  </w:r>
                </w:p>
              </w:tc>
              <w:tc>
                <w:tcPr>
                  <w:tcW w:w="1523" w:type="dxa"/>
                </w:tcPr>
                <w:p w14:paraId="6C55E7FE" w14:textId="77777777" w:rsidR="00B24BA3" w:rsidRPr="0051792E" w:rsidRDefault="00B24BA3" w:rsidP="00B24BA3">
                  <w:pPr>
                    <w:jc w:val="center"/>
                  </w:pPr>
                  <w:r>
                    <w:t>88.57%</w:t>
                  </w:r>
                </w:p>
              </w:tc>
              <w:tc>
                <w:tcPr>
                  <w:tcW w:w="851" w:type="dxa"/>
                </w:tcPr>
                <w:p w14:paraId="36B1FBA0" w14:textId="77777777" w:rsidR="00B24BA3" w:rsidRPr="0051792E" w:rsidRDefault="00B24BA3" w:rsidP="00B24BA3">
                  <w:pPr>
                    <w:jc w:val="center"/>
                  </w:pPr>
                  <w:r>
                    <w:t>88.24%</w:t>
                  </w:r>
                </w:p>
              </w:tc>
              <w:tc>
                <w:tcPr>
                  <w:tcW w:w="1135" w:type="dxa"/>
                </w:tcPr>
                <w:p w14:paraId="650F08CE" w14:textId="77777777" w:rsidR="00B24BA3" w:rsidRPr="0051792E" w:rsidRDefault="00B24BA3" w:rsidP="00B24BA3">
                  <w:pPr>
                    <w:jc w:val="center"/>
                  </w:pPr>
                  <w:r>
                    <w:t>+0.33</w:t>
                  </w:r>
                </w:p>
              </w:tc>
              <w:tc>
                <w:tcPr>
                  <w:tcW w:w="1523" w:type="dxa"/>
                </w:tcPr>
                <w:p w14:paraId="0CD1C551" w14:textId="77777777" w:rsidR="00B24BA3" w:rsidRPr="00983A09" w:rsidRDefault="00B24BA3" w:rsidP="00B24BA3">
                  <w:pPr>
                    <w:jc w:val="center"/>
                  </w:pPr>
                  <w:r w:rsidRPr="00983A09">
                    <w:t>2.86%</w:t>
                  </w:r>
                </w:p>
              </w:tc>
              <w:tc>
                <w:tcPr>
                  <w:tcW w:w="851" w:type="dxa"/>
                </w:tcPr>
                <w:p w14:paraId="668B7F47" w14:textId="77777777" w:rsidR="00B24BA3" w:rsidRPr="00983A09" w:rsidRDefault="00B24BA3" w:rsidP="00B24BA3">
                  <w:pPr>
                    <w:jc w:val="center"/>
                  </w:pPr>
                  <w:r w:rsidRPr="00983A09">
                    <w:t>8.82%</w:t>
                  </w:r>
                </w:p>
              </w:tc>
              <w:tc>
                <w:tcPr>
                  <w:tcW w:w="1135" w:type="dxa"/>
                </w:tcPr>
                <w:p w14:paraId="109EB23E" w14:textId="77777777" w:rsidR="00B24BA3" w:rsidRPr="00983A09" w:rsidRDefault="00B24BA3" w:rsidP="00B24BA3">
                  <w:pPr>
                    <w:jc w:val="center"/>
                  </w:pPr>
                  <w:r w:rsidRPr="00983A09">
                    <w:t>-5.96</w:t>
                  </w:r>
                </w:p>
              </w:tc>
            </w:tr>
            <w:tr w:rsidR="00B24BA3" w:rsidRPr="00EC46EE" w14:paraId="582DA77F" w14:textId="77777777" w:rsidTr="00B24BA3">
              <w:tc>
                <w:tcPr>
                  <w:tcW w:w="1577" w:type="dxa"/>
                  <w:shd w:val="clear" w:color="auto" w:fill="F2F2F2" w:themeFill="background1" w:themeFillShade="F2"/>
                </w:tcPr>
                <w:p w14:paraId="3C797A60" w14:textId="77777777" w:rsidR="00B24BA3" w:rsidRPr="0053432B" w:rsidRDefault="00B24BA3" w:rsidP="00B24BA3">
                  <w:pPr>
                    <w:rPr>
                      <w:b/>
                    </w:rPr>
                  </w:pPr>
                  <w:r w:rsidRPr="0053432B">
                    <w:rPr>
                      <w:b/>
                    </w:rPr>
                    <w:t>Year 3</w:t>
                  </w:r>
                </w:p>
              </w:tc>
              <w:tc>
                <w:tcPr>
                  <w:tcW w:w="1523" w:type="dxa"/>
                  <w:shd w:val="clear" w:color="auto" w:fill="FFFFFF" w:themeFill="background1"/>
                </w:tcPr>
                <w:p w14:paraId="1B588E6B" w14:textId="77777777" w:rsidR="00B24BA3" w:rsidRPr="0051792E" w:rsidRDefault="00B24BA3" w:rsidP="00B24BA3">
                  <w:pPr>
                    <w:jc w:val="center"/>
                  </w:pPr>
                  <w:r>
                    <w:t>52.5%</w:t>
                  </w:r>
                </w:p>
              </w:tc>
              <w:tc>
                <w:tcPr>
                  <w:tcW w:w="851" w:type="dxa"/>
                  <w:shd w:val="clear" w:color="auto" w:fill="FFFFFF" w:themeFill="background1"/>
                </w:tcPr>
                <w:p w14:paraId="2F5C54AC" w14:textId="77777777" w:rsidR="00B24BA3" w:rsidRPr="0051792E" w:rsidRDefault="00B24BA3" w:rsidP="00B24BA3">
                  <w:pPr>
                    <w:jc w:val="center"/>
                  </w:pPr>
                  <w:r>
                    <w:t>70.83%</w:t>
                  </w:r>
                </w:p>
              </w:tc>
              <w:tc>
                <w:tcPr>
                  <w:tcW w:w="1135" w:type="dxa"/>
                  <w:shd w:val="clear" w:color="auto" w:fill="FFFFFF" w:themeFill="background1"/>
                </w:tcPr>
                <w:p w14:paraId="04290E00" w14:textId="77777777" w:rsidR="00B24BA3" w:rsidRPr="0051792E" w:rsidRDefault="00B24BA3" w:rsidP="00B24BA3">
                  <w:pPr>
                    <w:jc w:val="center"/>
                  </w:pPr>
                  <w:r>
                    <w:t>-18.33</w:t>
                  </w:r>
                </w:p>
              </w:tc>
              <w:tc>
                <w:tcPr>
                  <w:tcW w:w="1523" w:type="dxa"/>
                  <w:shd w:val="clear" w:color="auto" w:fill="FFFFFF" w:themeFill="background1"/>
                </w:tcPr>
                <w:p w14:paraId="360ABC5D" w14:textId="77777777" w:rsidR="00B24BA3" w:rsidRPr="00983A09" w:rsidRDefault="00B24BA3" w:rsidP="00B24BA3">
                  <w:pPr>
                    <w:jc w:val="center"/>
                  </w:pPr>
                  <w:r w:rsidRPr="00983A09">
                    <w:t>7.5%</w:t>
                  </w:r>
                </w:p>
              </w:tc>
              <w:tc>
                <w:tcPr>
                  <w:tcW w:w="851" w:type="dxa"/>
                  <w:shd w:val="clear" w:color="auto" w:fill="FFFFFF" w:themeFill="background1"/>
                </w:tcPr>
                <w:p w14:paraId="54E915A0" w14:textId="77777777" w:rsidR="00B24BA3" w:rsidRPr="00983A09" w:rsidRDefault="00B24BA3" w:rsidP="00B24BA3">
                  <w:pPr>
                    <w:jc w:val="center"/>
                  </w:pPr>
                  <w:r w:rsidRPr="00983A09">
                    <w:t>14.58%</w:t>
                  </w:r>
                </w:p>
              </w:tc>
              <w:tc>
                <w:tcPr>
                  <w:tcW w:w="1135" w:type="dxa"/>
                </w:tcPr>
                <w:p w14:paraId="0CEF6CCD" w14:textId="77777777" w:rsidR="00B24BA3" w:rsidRPr="00983A09" w:rsidRDefault="00B24BA3" w:rsidP="00B24BA3">
                  <w:pPr>
                    <w:jc w:val="center"/>
                  </w:pPr>
                  <w:r w:rsidRPr="00983A09">
                    <w:t>-7.08</w:t>
                  </w:r>
                </w:p>
              </w:tc>
            </w:tr>
            <w:tr w:rsidR="00B24BA3" w:rsidRPr="00EC46EE" w14:paraId="2A1059AA" w14:textId="77777777" w:rsidTr="00B24BA3">
              <w:tc>
                <w:tcPr>
                  <w:tcW w:w="1577" w:type="dxa"/>
                  <w:shd w:val="clear" w:color="auto" w:fill="F2F2F2" w:themeFill="background1" w:themeFillShade="F2"/>
                </w:tcPr>
                <w:p w14:paraId="6A7FA7B9" w14:textId="77777777" w:rsidR="00B24BA3" w:rsidRPr="0053432B" w:rsidRDefault="00B24BA3" w:rsidP="00B24BA3">
                  <w:pPr>
                    <w:rPr>
                      <w:b/>
                    </w:rPr>
                  </w:pPr>
                  <w:r w:rsidRPr="0053432B">
                    <w:rPr>
                      <w:b/>
                    </w:rPr>
                    <w:lastRenderedPageBreak/>
                    <w:t>Year 3 No SEN</w:t>
                  </w:r>
                </w:p>
              </w:tc>
              <w:tc>
                <w:tcPr>
                  <w:tcW w:w="1523" w:type="dxa"/>
                  <w:shd w:val="clear" w:color="auto" w:fill="FFFFFF" w:themeFill="background1"/>
                </w:tcPr>
                <w:p w14:paraId="3E525653" w14:textId="77777777" w:rsidR="00B24BA3" w:rsidRPr="0051792E" w:rsidRDefault="00B24BA3" w:rsidP="00B24BA3">
                  <w:pPr>
                    <w:jc w:val="center"/>
                  </w:pPr>
                  <w:r>
                    <w:t>68%</w:t>
                  </w:r>
                </w:p>
              </w:tc>
              <w:tc>
                <w:tcPr>
                  <w:tcW w:w="851" w:type="dxa"/>
                  <w:shd w:val="clear" w:color="auto" w:fill="FFFFFF" w:themeFill="background1"/>
                </w:tcPr>
                <w:p w14:paraId="77C67A20" w14:textId="77777777" w:rsidR="00B24BA3" w:rsidRPr="0051792E" w:rsidRDefault="00B24BA3" w:rsidP="00B24BA3">
                  <w:pPr>
                    <w:jc w:val="center"/>
                  </w:pPr>
                  <w:r>
                    <w:t>78%</w:t>
                  </w:r>
                </w:p>
              </w:tc>
              <w:tc>
                <w:tcPr>
                  <w:tcW w:w="1135" w:type="dxa"/>
                  <w:shd w:val="clear" w:color="auto" w:fill="FFFFFF" w:themeFill="background1"/>
                </w:tcPr>
                <w:p w14:paraId="144824E0" w14:textId="77777777" w:rsidR="00B24BA3" w:rsidRPr="0051792E" w:rsidRDefault="00B24BA3" w:rsidP="00B24BA3">
                  <w:pPr>
                    <w:jc w:val="center"/>
                  </w:pPr>
                  <w:r>
                    <w:t>-10</w:t>
                  </w:r>
                </w:p>
              </w:tc>
              <w:tc>
                <w:tcPr>
                  <w:tcW w:w="1523" w:type="dxa"/>
                  <w:shd w:val="clear" w:color="auto" w:fill="FFFFFF" w:themeFill="background1"/>
                </w:tcPr>
                <w:p w14:paraId="2EBB539B" w14:textId="77777777" w:rsidR="00B24BA3" w:rsidRPr="00983A09" w:rsidRDefault="00B24BA3" w:rsidP="00B24BA3">
                  <w:pPr>
                    <w:jc w:val="center"/>
                  </w:pPr>
                  <w:r w:rsidRPr="00983A09">
                    <w:t>12%</w:t>
                  </w:r>
                </w:p>
              </w:tc>
              <w:tc>
                <w:tcPr>
                  <w:tcW w:w="851" w:type="dxa"/>
                  <w:shd w:val="clear" w:color="auto" w:fill="FFFFFF" w:themeFill="background1"/>
                </w:tcPr>
                <w:p w14:paraId="63833DEB" w14:textId="77777777" w:rsidR="00B24BA3" w:rsidRPr="00983A09" w:rsidRDefault="00B24BA3" w:rsidP="00B24BA3">
                  <w:pPr>
                    <w:jc w:val="center"/>
                  </w:pPr>
                  <w:r w:rsidRPr="00983A09">
                    <w:t>14.6%</w:t>
                  </w:r>
                </w:p>
              </w:tc>
              <w:tc>
                <w:tcPr>
                  <w:tcW w:w="1135" w:type="dxa"/>
                </w:tcPr>
                <w:p w14:paraId="3CEB4DB1" w14:textId="77777777" w:rsidR="00B24BA3" w:rsidRPr="00983A09" w:rsidRDefault="00B24BA3" w:rsidP="00B24BA3">
                  <w:pPr>
                    <w:jc w:val="center"/>
                  </w:pPr>
                  <w:r w:rsidRPr="00983A09">
                    <w:t>-2.6</w:t>
                  </w:r>
                </w:p>
              </w:tc>
            </w:tr>
          </w:tbl>
          <w:p w14:paraId="55698748" w14:textId="77777777" w:rsidR="001B05D5" w:rsidRDefault="001B05D5" w:rsidP="001B05D5">
            <w:pPr>
              <w:suppressAutoHyphens w:val="0"/>
              <w:autoSpaceDN/>
              <w:spacing w:after="160" w:line="259" w:lineRule="auto"/>
              <w:ind w:left="720" w:hanging="360"/>
            </w:pPr>
            <w:bookmarkStart w:id="15" w:name="_Hlk114219532"/>
          </w:p>
          <w:p w14:paraId="1B98B274" w14:textId="5BF1FF43" w:rsidR="00B24BA3" w:rsidRPr="001B05D5" w:rsidRDefault="001B05D5" w:rsidP="00A436B1">
            <w:pPr>
              <w:suppressAutoHyphens w:val="0"/>
              <w:autoSpaceDN/>
              <w:spacing w:after="160" w:line="259" w:lineRule="auto"/>
              <w:ind w:left="360"/>
            </w:pPr>
            <w:r>
              <w:t xml:space="preserve">KS2: </w:t>
            </w:r>
            <w:r w:rsidR="00B24BA3" w:rsidRPr="001B05D5">
              <w:t>At ARE, there is a + 2.6% difference between the attainment of WEJS disadv</w:t>
            </w:r>
            <w:r>
              <w:t>an</w:t>
            </w:r>
            <w:r w:rsidR="00B24BA3" w:rsidRPr="001B05D5">
              <w:t xml:space="preserve">taged children and the National Average for disadvantaged children </w:t>
            </w:r>
            <w:bookmarkEnd w:id="15"/>
            <w:r>
              <w:t>and the gap is 11.4% smaller than national</w:t>
            </w:r>
            <w:r w:rsidR="00A436B1">
              <w:t>.</w:t>
            </w:r>
          </w:p>
          <w:p w14:paraId="4C02DF89" w14:textId="4A8C4772" w:rsidR="00B24BA3" w:rsidRPr="00A436B1" w:rsidRDefault="00A436B1" w:rsidP="00B24BA3">
            <w:r>
              <w:t xml:space="preserve">      </w:t>
            </w:r>
            <w:r w:rsidRPr="00A436B1">
              <w:t xml:space="preserve">In Y5, </w:t>
            </w:r>
            <w:r w:rsidR="008747E1">
              <w:t xml:space="preserve">there is no </w:t>
            </w:r>
            <w:r w:rsidRPr="00A436B1">
              <w:t xml:space="preserve">attainment </w:t>
            </w:r>
            <w:r w:rsidR="008747E1">
              <w:t xml:space="preserve">gap </w:t>
            </w:r>
            <w:r w:rsidRPr="00A436B1">
              <w:t>at the Higher standard</w:t>
            </w:r>
            <w:r w:rsidR="008747E1">
              <w:t>.</w:t>
            </w:r>
          </w:p>
          <w:p w14:paraId="277A0CB3" w14:textId="77777777" w:rsidR="00A436B1" w:rsidRDefault="00A436B1" w:rsidP="00B24BA3">
            <w:pPr>
              <w:jc w:val="center"/>
              <w:rPr>
                <w:b/>
                <w:sz w:val="32"/>
                <w:u w:val="single"/>
              </w:rPr>
            </w:pPr>
          </w:p>
          <w:p w14:paraId="668A83F4" w14:textId="77777777" w:rsidR="00A436B1" w:rsidRDefault="00A436B1" w:rsidP="00B24BA3">
            <w:pPr>
              <w:jc w:val="center"/>
              <w:rPr>
                <w:b/>
                <w:sz w:val="32"/>
                <w:u w:val="single"/>
              </w:rPr>
            </w:pPr>
          </w:p>
          <w:p w14:paraId="25466AFB" w14:textId="1045F311" w:rsidR="00B24BA3" w:rsidRPr="008747E1" w:rsidRDefault="00B24BA3" w:rsidP="00B24BA3">
            <w:pPr>
              <w:jc w:val="center"/>
              <w:rPr>
                <w:sz w:val="32"/>
              </w:rPr>
            </w:pPr>
            <w:r w:rsidRPr="008747E1">
              <w:rPr>
                <w:sz w:val="32"/>
              </w:rPr>
              <w:t>Writing</w:t>
            </w:r>
          </w:p>
          <w:tbl>
            <w:tblPr>
              <w:tblStyle w:val="TableGrid1"/>
              <w:tblW w:w="8647" w:type="dxa"/>
              <w:tblInd w:w="562" w:type="dxa"/>
              <w:tblLayout w:type="fixed"/>
              <w:tblLook w:val="04A0" w:firstRow="1" w:lastRow="0" w:firstColumn="1" w:lastColumn="0" w:noHBand="0" w:noVBand="1"/>
            </w:tblPr>
            <w:tblGrid>
              <w:gridCol w:w="1491"/>
              <w:gridCol w:w="1572"/>
              <w:gridCol w:w="836"/>
              <w:gridCol w:w="1169"/>
              <w:gridCol w:w="1572"/>
              <w:gridCol w:w="836"/>
              <w:gridCol w:w="1171"/>
            </w:tblGrid>
            <w:tr w:rsidR="00B24BA3" w:rsidRPr="00EC46EE" w14:paraId="162EB86D" w14:textId="77777777" w:rsidTr="00B24BA3">
              <w:tc>
                <w:tcPr>
                  <w:tcW w:w="1491" w:type="dxa"/>
                  <w:tcBorders>
                    <w:bottom w:val="single" w:sz="4" w:space="0" w:color="auto"/>
                  </w:tcBorders>
                  <w:shd w:val="clear" w:color="auto" w:fill="F2F2F2" w:themeFill="background1" w:themeFillShade="F2"/>
                </w:tcPr>
                <w:p w14:paraId="1982DB5B" w14:textId="77777777" w:rsidR="00B24BA3" w:rsidRPr="00EC46EE" w:rsidRDefault="00B24BA3" w:rsidP="00B24BA3">
                  <w:pPr>
                    <w:jc w:val="center"/>
                    <w:rPr>
                      <w:b/>
                      <w:highlight w:val="yellow"/>
                    </w:rPr>
                  </w:pPr>
                </w:p>
              </w:tc>
              <w:tc>
                <w:tcPr>
                  <w:tcW w:w="3577" w:type="dxa"/>
                  <w:gridSpan w:val="3"/>
                  <w:shd w:val="clear" w:color="auto" w:fill="F2F2F2" w:themeFill="background1" w:themeFillShade="F2"/>
                </w:tcPr>
                <w:p w14:paraId="4C25E010" w14:textId="77777777" w:rsidR="00B24BA3" w:rsidRPr="00983A09" w:rsidRDefault="00B24BA3" w:rsidP="00B24BA3">
                  <w:pPr>
                    <w:jc w:val="center"/>
                    <w:rPr>
                      <w:b/>
                    </w:rPr>
                  </w:pPr>
                  <w:r w:rsidRPr="00983A09">
                    <w:rPr>
                      <w:b/>
                    </w:rPr>
                    <w:t>At Expected Standard</w:t>
                  </w:r>
                </w:p>
              </w:tc>
              <w:tc>
                <w:tcPr>
                  <w:tcW w:w="3579" w:type="dxa"/>
                  <w:gridSpan w:val="3"/>
                  <w:shd w:val="clear" w:color="auto" w:fill="F2F2F2" w:themeFill="background1" w:themeFillShade="F2"/>
                </w:tcPr>
                <w:p w14:paraId="6411B3E1" w14:textId="77777777" w:rsidR="00B24BA3" w:rsidRPr="00983A09" w:rsidRDefault="00B24BA3" w:rsidP="00B24BA3">
                  <w:pPr>
                    <w:jc w:val="center"/>
                    <w:rPr>
                      <w:b/>
                    </w:rPr>
                  </w:pPr>
                  <w:r w:rsidRPr="00983A09">
                    <w:rPr>
                      <w:b/>
                    </w:rPr>
                    <w:t>At the Higher Standard</w:t>
                  </w:r>
                </w:p>
              </w:tc>
            </w:tr>
            <w:tr w:rsidR="00B24BA3" w:rsidRPr="00EC46EE" w14:paraId="2263F0F3" w14:textId="77777777" w:rsidTr="00B24BA3">
              <w:tc>
                <w:tcPr>
                  <w:tcW w:w="1491" w:type="dxa"/>
                  <w:tcBorders>
                    <w:bottom w:val="single" w:sz="4" w:space="0" w:color="auto"/>
                  </w:tcBorders>
                  <w:shd w:val="clear" w:color="auto" w:fill="F2F2F2" w:themeFill="background1" w:themeFillShade="F2"/>
                </w:tcPr>
                <w:p w14:paraId="1965E07A" w14:textId="77777777" w:rsidR="00B24BA3" w:rsidRPr="00EC46EE" w:rsidRDefault="00B24BA3" w:rsidP="00B24BA3">
                  <w:pPr>
                    <w:jc w:val="center"/>
                    <w:rPr>
                      <w:b/>
                      <w:highlight w:val="yellow"/>
                    </w:rPr>
                  </w:pPr>
                </w:p>
              </w:tc>
              <w:tc>
                <w:tcPr>
                  <w:tcW w:w="1572" w:type="dxa"/>
                  <w:tcBorders>
                    <w:bottom w:val="single" w:sz="4" w:space="0" w:color="auto"/>
                  </w:tcBorders>
                  <w:shd w:val="clear" w:color="auto" w:fill="F2F2F2" w:themeFill="background1" w:themeFillShade="F2"/>
                </w:tcPr>
                <w:p w14:paraId="7461689B" w14:textId="77777777" w:rsidR="00B24BA3" w:rsidRPr="008747E1" w:rsidRDefault="00B24BA3" w:rsidP="00B24BA3">
                  <w:pPr>
                    <w:rPr>
                      <w:b/>
                      <w:sz w:val="22"/>
                      <w:szCs w:val="22"/>
                    </w:rPr>
                  </w:pPr>
                  <w:r w:rsidRPr="008747E1">
                    <w:rPr>
                      <w:b/>
                      <w:sz w:val="22"/>
                      <w:szCs w:val="22"/>
                    </w:rPr>
                    <w:t>Disadvantaged</w:t>
                  </w:r>
                </w:p>
              </w:tc>
              <w:tc>
                <w:tcPr>
                  <w:tcW w:w="836" w:type="dxa"/>
                  <w:tcBorders>
                    <w:bottom w:val="single" w:sz="4" w:space="0" w:color="auto"/>
                  </w:tcBorders>
                  <w:shd w:val="clear" w:color="auto" w:fill="F2F2F2" w:themeFill="background1" w:themeFillShade="F2"/>
                </w:tcPr>
                <w:p w14:paraId="57F6FCAA" w14:textId="77777777" w:rsidR="00B24BA3" w:rsidRPr="008747E1" w:rsidRDefault="00B24BA3" w:rsidP="00B24BA3">
                  <w:pPr>
                    <w:rPr>
                      <w:b/>
                      <w:sz w:val="22"/>
                      <w:szCs w:val="22"/>
                    </w:rPr>
                  </w:pPr>
                  <w:r w:rsidRPr="008747E1">
                    <w:rPr>
                      <w:b/>
                      <w:sz w:val="22"/>
                      <w:szCs w:val="22"/>
                    </w:rPr>
                    <w:t>Others</w:t>
                  </w:r>
                </w:p>
              </w:tc>
              <w:tc>
                <w:tcPr>
                  <w:tcW w:w="1169" w:type="dxa"/>
                  <w:tcBorders>
                    <w:bottom w:val="single" w:sz="4" w:space="0" w:color="auto"/>
                  </w:tcBorders>
                  <w:shd w:val="clear" w:color="auto" w:fill="F2F2F2" w:themeFill="background1" w:themeFillShade="F2"/>
                </w:tcPr>
                <w:p w14:paraId="3947F76D" w14:textId="77777777" w:rsidR="00B24BA3" w:rsidRPr="008747E1" w:rsidRDefault="00B24BA3" w:rsidP="00B24BA3">
                  <w:pPr>
                    <w:rPr>
                      <w:b/>
                      <w:sz w:val="22"/>
                      <w:szCs w:val="22"/>
                    </w:rPr>
                  </w:pPr>
                  <w:r w:rsidRPr="008747E1">
                    <w:rPr>
                      <w:b/>
                      <w:sz w:val="22"/>
                      <w:szCs w:val="22"/>
                    </w:rPr>
                    <w:t xml:space="preserve">Difference </w:t>
                  </w:r>
                </w:p>
              </w:tc>
              <w:tc>
                <w:tcPr>
                  <w:tcW w:w="1572" w:type="dxa"/>
                  <w:tcBorders>
                    <w:bottom w:val="single" w:sz="4" w:space="0" w:color="auto"/>
                  </w:tcBorders>
                  <w:shd w:val="clear" w:color="auto" w:fill="F2F2F2" w:themeFill="background1" w:themeFillShade="F2"/>
                </w:tcPr>
                <w:p w14:paraId="18EBD922" w14:textId="77777777" w:rsidR="00B24BA3" w:rsidRPr="008747E1" w:rsidRDefault="00B24BA3" w:rsidP="00B24BA3">
                  <w:pPr>
                    <w:rPr>
                      <w:b/>
                      <w:sz w:val="22"/>
                      <w:szCs w:val="22"/>
                    </w:rPr>
                  </w:pPr>
                  <w:r w:rsidRPr="008747E1">
                    <w:rPr>
                      <w:b/>
                      <w:sz w:val="22"/>
                      <w:szCs w:val="22"/>
                    </w:rPr>
                    <w:t>Disadvantaged</w:t>
                  </w:r>
                </w:p>
              </w:tc>
              <w:tc>
                <w:tcPr>
                  <w:tcW w:w="836" w:type="dxa"/>
                  <w:tcBorders>
                    <w:bottom w:val="single" w:sz="4" w:space="0" w:color="auto"/>
                  </w:tcBorders>
                  <w:shd w:val="clear" w:color="auto" w:fill="F2F2F2" w:themeFill="background1" w:themeFillShade="F2"/>
                </w:tcPr>
                <w:p w14:paraId="2AF59A3C" w14:textId="77777777" w:rsidR="00B24BA3" w:rsidRPr="008747E1" w:rsidRDefault="00B24BA3" w:rsidP="00B24BA3">
                  <w:pPr>
                    <w:rPr>
                      <w:b/>
                      <w:sz w:val="22"/>
                      <w:szCs w:val="22"/>
                    </w:rPr>
                  </w:pPr>
                  <w:r w:rsidRPr="008747E1">
                    <w:rPr>
                      <w:b/>
                      <w:sz w:val="22"/>
                      <w:szCs w:val="22"/>
                    </w:rPr>
                    <w:t>Others</w:t>
                  </w:r>
                </w:p>
              </w:tc>
              <w:tc>
                <w:tcPr>
                  <w:tcW w:w="1171" w:type="dxa"/>
                  <w:tcBorders>
                    <w:bottom w:val="single" w:sz="4" w:space="0" w:color="auto"/>
                  </w:tcBorders>
                  <w:shd w:val="clear" w:color="auto" w:fill="F2F2F2" w:themeFill="background1" w:themeFillShade="F2"/>
                </w:tcPr>
                <w:p w14:paraId="2B2AC212" w14:textId="77777777" w:rsidR="00B24BA3" w:rsidRPr="008747E1" w:rsidRDefault="00B24BA3" w:rsidP="00B24BA3">
                  <w:pPr>
                    <w:rPr>
                      <w:b/>
                      <w:sz w:val="22"/>
                      <w:szCs w:val="22"/>
                    </w:rPr>
                  </w:pPr>
                  <w:r w:rsidRPr="008747E1">
                    <w:rPr>
                      <w:b/>
                      <w:sz w:val="22"/>
                      <w:szCs w:val="22"/>
                    </w:rPr>
                    <w:t xml:space="preserve">Difference </w:t>
                  </w:r>
                </w:p>
              </w:tc>
            </w:tr>
            <w:tr w:rsidR="00B24BA3" w:rsidRPr="00EC46EE" w14:paraId="7BAB283A" w14:textId="77777777" w:rsidTr="00B24BA3">
              <w:tc>
                <w:tcPr>
                  <w:tcW w:w="1491" w:type="dxa"/>
                  <w:shd w:val="clear" w:color="auto" w:fill="F2F2F2" w:themeFill="background1" w:themeFillShade="F2"/>
                </w:tcPr>
                <w:p w14:paraId="6F1F6DE5" w14:textId="77777777" w:rsidR="00B24BA3" w:rsidRPr="004633F9" w:rsidRDefault="00B24BA3" w:rsidP="00B24BA3">
                  <w:pPr>
                    <w:rPr>
                      <w:b/>
                    </w:rPr>
                  </w:pPr>
                  <w:proofErr w:type="gramStart"/>
                  <w:r w:rsidRPr="004633F9">
                    <w:rPr>
                      <w:b/>
                    </w:rPr>
                    <w:t>National  2024</w:t>
                  </w:r>
                  <w:proofErr w:type="gramEnd"/>
                </w:p>
              </w:tc>
              <w:tc>
                <w:tcPr>
                  <w:tcW w:w="1572" w:type="dxa"/>
                  <w:shd w:val="clear" w:color="auto" w:fill="DAEEF3" w:themeFill="accent5" w:themeFillTint="33"/>
                </w:tcPr>
                <w:p w14:paraId="23C7DF4E" w14:textId="77777777" w:rsidR="00B24BA3" w:rsidRPr="004633F9" w:rsidRDefault="00B24BA3" w:rsidP="00B24BA3">
                  <w:pPr>
                    <w:jc w:val="center"/>
                  </w:pPr>
                  <w:r w:rsidRPr="004633F9">
                    <w:t>58%</w:t>
                  </w:r>
                </w:p>
              </w:tc>
              <w:tc>
                <w:tcPr>
                  <w:tcW w:w="836" w:type="dxa"/>
                  <w:shd w:val="clear" w:color="auto" w:fill="DAEEF3" w:themeFill="accent5" w:themeFillTint="33"/>
                </w:tcPr>
                <w:p w14:paraId="45CE8994" w14:textId="77777777" w:rsidR="00B24BA3" w:rsidRPr="004633F9" w:rsidRDefault="00B24BA3" w:rsidP="00B24BA3">
                  <w:pPr>
                    <w:jc w:val="center"/>
                  </w:pPr>
                  <w:r w:rsidRPr="004633F9">
                    <w:t>78%</w:t>
                  </w:r>
                </w:p>
              </w:tc>
              <w:tc>
                <w:tcPr>
                  <w:tcW w:w="1169" w:type="dxa"/>
                  <w:shd w:val="clear" w:color="auto" w:fill="DAEEF3" w:themeFill="accent5" w:themeFillTint="33"/>
                </w:tcPr>
                <w:p w14:paraId="1F80CF3B" w14:textId="77777777" w:rsidR="00B24BA3" w:rsidRPr="004633F9" w:rsidRDefault="00B24BA3" w:rsidP="00B24BA3">
                  <w:pPr>
                    <w:jc w:val="center"/>
                  </w:pPr>
                  <w:r w:rsidRPr="004633F9">
                    <w:t>-20%</w:t>
                  </w:r>
                </w:p>
              </w:tc>
              <w:tc>
                <w:tcPr>
                  <w:tcW w:w="1572" w:type="dxa"/>
                  <w:shd w:val="clear" w:color="auto" w:fill="DAEEF3" w:themeFill="accent5" w:themeFillTint="33"/>
                </w:tcPr>
                <w:p w14:paraId="2B9AC375" w14:textId="77777777" w:rsidR="00B24BA3" w:rsidRPr="004633F9" w:rsidRDefault="00B24BA3" w:rsidP="00B24BA3">
                  <w:pPr>
                    <w:jc w:val="center"/>
                  </w:pPr>
                  <w:r w:rsidRPr="004633F9">
                    <w:t>-</w:t>
                  </w:r>
                </w:p>
              </w:tc>
              <w:tc>
                <w:tcPr>
                  <w:tcW w:w="836" w:type="dxa"/>
                  <w:shd w:val="clear" w:color="auto" w:fill="DAEEF3" w:themeFill="accent5" w:themeFillTint="33"/>
                </w:tcPr>
                <w:p w14:paraId="6B491BBE" w14:textId="77777777" w:rsidR="00B24BA3" w:rsidRPr="004633F9" w:rsidRDefault="00B24BA3" w:rsidP="00B24BA3">
                  <w:pPr>
                    <w:jc w:val="center"/>
                  </w:pPr>
                  <w:r w:rsidRPr="004633F9">
                    <w:t>-</w:t>
                  </w:r>
                </w:p>
              </w:tc>
              <w:tc>
                <w:tcPr>
                  <w:tcW w:w="1171" w:type="dxa"/>
                  <w:shd w:val="clear" w:color="auto" w:fill="DAEEF3" w:themeFill="accent5" w:themeFillTint="33"/>
                </w:tcPr>
                <w:p w14:paraId="6EBA49B9" w14:textId="77777777" w:rsidR="00B24BA3" w:rsidRPr="004633F9" w:rsidRDefault="00B24BA3" w:rsidP="00B24BA3">
                  <w:pPr>
                    <w:jc w:val="center"/>
                  </w:pPr>
                  <w:r w:rsidRPr="004633F9">
                    <w:t>-</w:t>
                  </w:r>
                </w:p>
              </w:tc>
            </w:tr>
            <w:tr w:rsidR="00B24BA3" w:rsidRPr="00EC46EE" w14:paraId="04AB4F9B" w14:textId="77777777" w:rsidTr="00B24BA3">
              <w:tc>
                <w:tcPr>
                  <w:tcW w:w="1491" w:type="dxa"/>
                  <w:shd w:val="clear" w:color="auto" w:fill="F2F2F2" w:themeFill="background1" w:themeFillShade="F2"/>
                </w:tcPr>
                <w:p w14:paraId="70333A2B" w14:textId="77777777" w:rsidR="00B24BA3" w:rsidRPr="004633F9" w:rsidRDefault="00B24BA3" w:rsidP="00B24BA3">
                  <w:pPr>
                    <w:rPr>
                      <w:b/>
                    </w:rPr>
                  </w:pPr>
                  <w:r>
                    <w:rPr>
                      <w:b/>
                    </w:rPr>
                    <w:t>Birmingham 2024</w:t>
                  </w:r>
                </w:p>
              </w:tc>
              <w:tc>
                <w:tcPr>
                  <w:tcW w:w="1572" w:type="dxa"/>
                  <w:shd w:val="clear" w:color="auto" w:fill="DAEEF3" w:themeFill="accent5" w:themeFillTint="33"/>
                </w:tcPr>
                <w:p w14:paraId="784B829F" w14:textId="77777777" w:rsidR="00B24BA3" w:rsidRPr="004633F9" w:rsidRDefault="00B24BA3" w:rsidP="00B24BA3">
                  <w:pPr>
                    <w:jc w:val="center"/>
                  </w:pPr>
                  <w:r>
                    <w:t>64.3%</w:t>
                  </w:r>
                </w:p>
              </w:tc>
              <w:tc>
                <w:tcPr>
                  <w:tcW w:w="836" w:type="dxa"/>
                  <w:shd w:val="clear" w:color="auto" w:fill="DAEEF3" w:themeFill="accent5" w:themeFillTint="33"/>
                </w:tcPr>
                <w:p w14:paraId="03DF0979" w14:textId="77777777" w:rsidR="00B24BA3" w:rsidRPr="004633F9" w:rsidRDefault="00B24BA3" w:rsidP="00B24BA3">
                  <w:pPr>
                    <w:jc w:val="center"/>
                  </w:pPr>
                  <w:r>
                    <w:t>77.6%</w:t>
                  </w:r>
                </w:p>
              </w:tc>
              <w:tc>
                <w:tcPr>
                  <w:tcW w:w="1169" w:type="dxa"/>
                  <w:shd w:val="clear" w:color="auto" w:fill="DAEEF3" w:themeFill="accent5" w:themeFillTint="33"/>
                </w:tcPr>
                <w:p w14:paraId="1E7B163D" w14:textId="77777777" w:rsidR="00B24BA3" w:rsidRPr="004633F9" w:rsidRDefault="00B24BA3" w:rsidP="00B24BA3">
                  <w:pPr>
                    <w:jc w:val="center"/>
                  </w:pPr>
                  <w:r>
                    <w:t>-13.3</w:t>
                  </w:r>
                </w:p>
              </w:tc>
              <w:tc>
                <w:tcPr>
                  <w:tcW w:w="1572" w:type="dxa"/>
                  <w:shd w:val="clear" w:color="auto" w:fill="DAEEF3" w:themeFill="accent5" w:themeFillTint="33"/>
                </w:tcPr>
                <w:p w14:paraId="7310ED3C" w14:textId="77777777" w:rsidR="00B24BA3" w:rsidRPr="004633F9" w:rsidRDefault="00B24BA3" w:rsidP="00B24BA3">
                  <w:pPr>
                    <w:jc w:val="center"/>
                  </w:pPr>
                  <w:r>
                    <w:t>7.5%</w:t>
                  </w:r>
                </w:p>
              </w:tc>
              <w:tc>
                <w:tcPr>
                  <w:tcW w:w="836" w:type="dxa"/>
                  <w:shd w:val="clear" w:color="auto" w:fill="DAEEF3" w:themeFill="accent5" w:themeFillTint="33"/>
                </w:tcPr>
                <w:p w14:paraId="6B6A1726" w14:textId="77777777" w:rsidR="00B24BA3" w:rsidRPr="004633F9" w:rsidRDefault="00B24BA3" w:rsidP="00B24BA3">
                  <w:pPr>
                    <w:jc w:val="center"/>
                  </w:pPr>
                  <w:r>
                    <w:t>14%</w:t>
                  </w:r>
                </w:p>
              </w:tc>
              <w:tc>
                <w:tcPr>
                  <w:tcW w:w="1171" w:type="dxa"/>
                  <w:shd w:val="clear" w:color="auto" w:fill="DAEEF3" w:themeFill="accent5" w:themeFillTint="33"/>
                </w:tcPr>
                <w:p w14:paraId="6006EC7D" w14:textId="77777777" w:rsidR="00B24BA3" w:rsidRPr="004633F9" w:rsidRDefault="00B24BA3" w:rsidP="00B24BA3">
                  <w:pPr>
                    <w:jc w:val="center"/>
                  </w:pPr>
                  <w:r>
                    <w:t>-6.5</w:t>
                  </w:r>
                </w:p>
              </w:tc>
            </w:tr>
            <w:tr w:rsidR="00B24BA3" w:rsidRPr="00EC46EE" w14:paraId="54E76E66" w14:textId="77777777" w:rsidTr="00B24BA3">
              <w:tc>
                <w:tcPr>
                  <w:tcW w:w="1491" w:type="dxa"/>
                  <w:shd w:val="clear" w:color="auto" w:fill="F2F2F2" w:themeFill="background1" w:themeFillShade="F2"/>
                </w:tcPr>
                <w:p w14:paraId="3B1998C5" w14:textId="77777777" w:rsidR="00B24BA3" w:rsidRPr="00983A09" w:rsidRDefault="00B24BA3" w:rsidP="00B24BA3">
                  <w:pPr>
                    <w:rPr>
                      <w:b/>
                    </w:rPr>
                  </w:pPr>
                  <w:r w:rsidRPr="00983A09">
                    <w:rPr>
                      <w:b/>
                    </w:rPr>
                    <w:t>Year 6 202</w:t>
                  </w:r>
                  <w:r>
                    <w:rPr>
                      <w:b/>
                    </w:rPr>
                    <w:t>4</w:t>
                  </w:r>
                </w:p>
              </w:tc>
              <w:tc>
                <w:tcPr>
                  <w:tcW w:w="1572" w:type="dxa"/>
                  <w:shd w:val="clear" w:color="auto" w:fill="DAEEF3" w:themeFill="accent5" w:themeFillTint="33"/>
                </w:tcPr>
                <w:p w14:paraId="60067E87" w14:textId="77777777" w:rsidR="00B24BA3" w:rsidRPr="0053432B" w:rsidRDefault="00B24BA3" w:rsidP="00B24BA3">
                  <w:pPr>
                    <w:jc w:val="center"/>
                  </w:pPr>
                  <w:r>
                    <w:t>72.9%</w:t>
                  </w:r>
                </w:p>
              </w:tc>
              <w:tc>
                <w:tcPr>
                  <w:tcW w:w="836" w:type="dxa"/>
                  <w:shd w:val="clear" w:color="auto" w:fill="DAEEF3" w:themeFill="accent5" w:themeFillTint="33"/>
                </w:tcPr>
                <w:p w14:paraId="7430ED63" w14:textId="77777777" w:rsidR="00B24BA3" w:rsidRPr="0053432B" w:rsidRDefault="00B24BA3" w:rsidP="00B24BA3">
                  <w:pPr>
                    <w:jc w:val="center"/>
                  </w:pPr>
                  <w:r>
                    <w:t>72.3%</w:t>
                  </w:r>
                </w:p>
              </w:tc>
              <w:tc>
                <w:tcPr>
                  <w:tcW w:w="1169" w:type="dxa"/>
                  <w:shd w:val="clear" w:color="auto" w:fill="DAEEF3" w:themeFill="accent5" w:themeFillTint="33"/>
                </w:tcPr>
                <w:p w14:paraId="140FE1D5" w14:textId="77777777" w:rsidR="00B24BA3" w:rsidRPr="0053432B" w:rsidRDefault="00B24BA3" w:rsidP="00B24BA3">
                  <w:pPr>
                    <w:jc w:val="center"/>
                  </w:pPr>
                  <w:r>
                    <w:t>0.6</w:t>
                  </w:r>
                </w:p>
              </w:tc>
              <w:tc>
                <w:tcPr>
                  <w:tcW w:w="1572" w:type="dxa"/>
                  <w:shd w:val="clear" w:color="auto" w:fill="DAEEF3" w:themeFill="accent5" w:themeFillTint="33"/>
                </w:tcPr>
                <w:p w14:paraId="40576D63" w14:textId="77777777" w:rsidR="00B24BA3" w:rsidRPr="0053432B" w:rsidRDefault="00B24BA3" w:rsidP="00B24BA3">
                  <w:pPr>
                    <w:jc w:val="center"/>
                  </w:pPr>
                  <w:r>
                    <w:t>6.2%</w:t>
                  </w:r>
                </w:p>
              </w:tc>
              <w:tc>
                <w:tcPr>
                  <w:tcW w:w="836" w:type="dxa"/>
                  <w:shd w:val="clear" w:color="auto" w:fill="DAEEF3" w:themeFill="accent5" w:themeFillTint="33"/>
                </w:tcPr>
                <w:p w14:paraId="750C53F7" w14:textId="77777777" w:rsidR="00B24BA3" w:rsidRPr="0053432B" w:rsidRDefault="00B24BA3" w:rsidP="00B24BA3">
                  <w:pPr>
                    <w:jc w:val="center"/>
                  </w:pPr>
                  <w:r>
                    <w:t>19.1%</w:t>
                  </w:r>
                </w:p>
              </w:tc>
              <w:tc>
                <w:tcPr>
                  <w:tcW w:w="1171" w:type="dxa"/>
                  <w:shd w:val="clear" w:color="auto" w:fill="DAEEF3" w:themeFill="accent5" w:themeFillTint="33"/>
                </w:tcPr>
                <w:p w14:paraId="74FE253C" w14:textId="77777777" w:rsidR="00B24BA3" w:rsidRPr="0053432B" w:rsidRDefault="00B24BA3" w:rsidP="00B24BA3">
                  <w:pPr>
                    <w:jc w:val="center"/>
                  </w:pPr>
                  <w:r>
                    <w:t>-12.9</w:t>
                  </w:r>
                </w:p>
              </w:tc>
            </w:tr>
            <w:tr w:rsidR="00B24BA3" w:rsidRPr="00EC46EE" w14:paraId="0B8609AD" w14:textId="77777777" w:rsidTr="00B24BA3">
              <w:tc>
                <w:tcPr>
                  <w:tcW w:w="1491" w:type="dxa"/>
                  <w:shd w:val="clear" w:color="auto" w:fill="F2F2F2" w:themeFill="background1" w:themeFillShade="F2"/>
                </w:tcPr>
                <w:p w14:paraId="4D8325C8" w14:textId="77777777" w:rsidR="00B24BA3" w:rsidRPr="00983A09" w:rsidRDefault="00B24BA3" w:rsidP="00B24BA3">
                  <w:pPr>
                    <w:rPr>
                      <w:b/>
                    </w:rPr>
                  </w:pPr>
                  <w:r w:rsidRPr="00983A09">
                    <w:rPr>
                      <w:b/>
                    </w:rPr>
                    <w:t xml:space="preserve">Year 6 </w:t>
                  </w:r>
                </w:p>
                <w:p w14:paraId="3B4D449F" w14:textId="77777777" w:rsidR="00B24BA3" w:rsidRPr="00983A09" w:rsidRDefault="00B24BA3" w:rsidP="00B24BA3">
                  <w:pPr>
                    <w:rPr>
                      <w:b/>
                    </w:rPr>
                  </w:pPr>
                  <w:r w:rsidRPr="00983A09">
                    <w:rPr>
                      <w:b/>
                    </w:rPr>
                    <w:t>No SEN</w:t>
                  </w:r>
                </w:p>
              </w:tc>
              <w:tc>
                <w:tcPr>
                  <w:tcW w:w="1572" w:type="dxa"/>
                  <w:shd w:val="clear" w:color="auto" w:fill="DAEEF3" w:themeFill="accent5" w:themeFillTint="33"/>
                </w:tcPr>
                <w:p w14:paraId="1E4E4EDF" w14:textId="77777777" w:rsidR="00B24BA3" w:rsidRPr="0053432B" w:rsidRDefault="00B24BA3" w:rsidP="00B24BA3">
                  <w:pPr>
                    <w:jc w:val="center"/>
                  </w:pPr>
                  <w:r>
                    <w:t>82.76%</w:t>
                  </w:r>
                </w:p>
              </w:tc>
              <w:tc>
                <w:tcPr>
                  <w:tcW w:w="836" w:type="dxa"/>
                  <w:shd w:val="clear" w:color="auto" w:fill="DAEEF3" w:themeFill="accent5" w:themeFillTint="33"/>
                </w:tcPr>
                <w:p w14:paraId="3D3482F3" w14:textId="77777777" w:rsidR="00B24BA3" w:rsidRPr="0053432B" w:rsidRDefault="00B24BA3" w:rsidP="00B24BA3">
                  <w:pPr>
                    <w:jc w:val="center"/>
                  </w:pPr>
                  <w:r>
                    <w:t>85.37%</w:t>
                  </w:r>
                </w:p>
              </w:tc>
              <w:tc>
                <w:tcPr>
                  <w:tcW w:w="1169" w:type="dxa"/>
                  <w:shd w:val="clear" w:color="auto" w:fill="DAEEF3" w:themeFill="accent5" w:themeFillTint="33"/>
                </w:tcPr>
                <w:p w14:paraId="22907820" w14:textId="77777777" w:rsidR="00B24BA3" w:rsidRPr="0053432B" w:rsidRDefault="00B24BA3" w:rsidP="00B24BA3">
                  <w:pPr>
                    <w:jc w:val="center"/>
                  </w:pPr>
                  <w:r>
                    <w:t>-2.61</w:t>
                  </w:r>
                </w:p>
              </w:tc>
              <w:tc>
                <w:tcPr>
                  <w:tcW w:w="1572" w:type="dxa"/>
                  <w:shd w:val="clear" w:color="auto" w:fill="DAEEF3" w:themeFill="accent5" w:themeFillTint="33"/>
                </w:tcPr>
                <w:p w14:paraId="1B5D20EB" w14:textId="77777777" w:rsidR="00B24BA3" w:rsidRPr="0053432B" w:rsidRDefault="00B24BA3" w:rsidP="00B24BA3">
                  <w:pPr>
                    <w:jc w:val="center"/>
                  </w:pPr>
                  <w:r>
                    <w:t>10.34%</w:t>
                  </w:r>
                </w:p>
              </w:tc>
              <w:tc>
                <w:tcPr>
                  <w:tcW w:w="836" w:type="dxa"/>
                  <w:shd w:val="clear" w:color="auto" w:fill="DAEEF3" w:themeFill="accent5" w:themeFillTint="33"/>
                </w:tcPr>
                <w:p w14:paraId="5EC4A12D" w14:textId="77777777" w:rsidR="00B24BA3" w:rsidRPr="0053432B" w:rsidRDefault="00B24BA3" w:rsidP="00B24BA3">
                  <w:pPr>
                    <w:jc w:val="center"/>
                  </w:pPr>
                  <w:r>
                    <w:t>21.95%</w:t>
                  </w:r>
                </w:p>
              </w:tc>
              <w:tc>
                <w:tcPr>
                  <w:tcW w:w="1171" w:type="dxa"/>
                  <w:shd w:val="clear" w:color="auto" w:fill="DAEEF3" w:themeFill="accent5" w:themeFillTint="33"/>
                </w:tcPr>
                <w:p w14:paraId="386811F7" w14:textId="77777777" w:rsidR="00B24BA3" w:rsidRPr="0053432B" w:rsidRDefault="00B24BA3" w:rsidP="00B24BA3">
                  <w:pPr>
                    <w:jc w:val="center"/>
                  </w:pPr>
                  <w:r>
                    <w:t>-11.61</w:t>
                  </w:r>
                </w:p>
              </w:tc>
            </w:tr>
            <w:tr w:rsidR="00B24BA3" w:rsidRPr="00EC46EE" w14:paraId="5936A873" w14:textId="77777777" w:rsidTr="00B24BA3">
              <w:tc>
                <w:tcPr>
                  <w:tcW w:w="1491" w:type="dxa"/>
                  <w:shd w:val="clear" w:color="auto" w:fill="F2F2F2" w:themeFill="background1" w:themeFillShade="F2"/>
                </w:tcPr>
                <w:p w14:paraId="302DD644" w14:textId="77777777" w:rsidR="00B24BA3" w:rsidRPr="00983A09" w:rsidRDefault="00B24BA3" w:rsidP="00B24BA3">
                  <w:pPr>
                    <w:rPr>
                      <w:b/>
                    </w:rPr>
                  </w:pPr>
                  <w:r w:rsidRPr="00983A09">
                    <w:rPr>
                      <w:b/>
                    </w:rPr>
                    <w:t>Year 5</w:t>
                  </w:r>
                </w:p>
              </w:tc>
              <w:tc>
                <w:tcPr>
                  <w:tcW w:w="1572" w:type="dxa"/>
                </w:tcPr>
                <w:p w14:paraId="6981ACD1" w14:textId="77777777" w:rsidR="00B24BA3" w:rsidRPr="0053432B" w:rsidRDefault="00B24BA3" w:rsidP="00B24BA3">
                  <w:pPr>
                    <w:jc w:val="center"/>
                  </w:pPr>
                  <w:r>
                    <w:t>52.17%</w:t>
                  </w:r>
                </w:p>
              </w:tc>
              <w:tc>
                <w:tcPr>
                  <w:tcW w:w="836" w:type="dxa"/>
                </w:tcPr>
                <w:p w14:paraId="2ECFBE05" w14:textId="77777777" w:rsidR="00B24BA3" w:rsidRPr="0053432B" w:rsidRDefault="00B24BA3" w:rsidP="00B24BA3">
                  <w:pPr>
                    <w:jc w:val="center"/>
                  </w:pPr>
                  <w:r>
                    <w:t>77.78%</w:t>
                  </w:r>
                </w:p>
              </w:tc>
              <w:tc>
                <w:tcPr>
                  <w:tcW w:w="1169" w:type="dxa"/>
                </w:tcPr>
                <w:p w14:paraId="72B99576" w14:textId="77777777" w:rsidR="00B24BA3" w:rsidRPr="0053432B" w:rsidRDefault="00B24BA3" w:rsidP="00B24BA3">
                  <w:pPr>
                    <w:jc w:val="center"/>
                  </w:pPr>
                  <w:r>
                    <w:t>-25.61</w:t>
                  </w:r>
                </w:p>
              </w:tc>
              <w:tc>
                <w:tcPr>
                  <w:tcW w:w="1572" w:type="dxa"/>
                </w:tcPr>
                <w:p w14:paraId="54A7D34A" w14:textId="77777777" w:rsidR="00B24BA3" w:rsidRPr="00983A09" w:rsidRDefault="00B24BA3" w:rsidP="00B24BA3">
                  <w:pPr>
                    <w:jc w:val="center"/>
                  </w:pPr>
                  <w:r w:rsidRPr="00983A09">
                    <w:t>10.87%</w:t>
                  </w:r>
                </w:p>
              </w:tc>
              <w:tc>
                <w:tcPr>
                  <w:tcW w:w="836" w:type="dxa"/>
                </w:tcPr>
                <w:p w14:paraId="4561AECD" w14:textId="77777777" w:rsidR="00B24BA3" w:rsidRPr="00983A09" w:rsidRDefault="00B24BA3" w:rsidP="00B24BA3">
                  <w:pPr>
                    <w:jc w:val="center"/>
                  </w:pPr>
                  <w:r w:rsidRPr="00983A09">
                    <w:t>8.89%</w:t>
                  </w:r>
                </w:p>
              </w:tc>
              <w:tc>
                <w:tcPr>
                  <w:tcW w:w="1171" w:type="dxa"/>
                </w:tcPr>
                <w:p w14:paraId="4F7BBE0C" w14:textId="77777777" w:rsidR="00B24BA3" w:rsidRPr="00983A09" w:rsidRDefault="00B24BA3" w:rsidP="00B24BA3">
                  <w:pPr>
                    <w:jc w:val="center"/>
                  </w:pPr>
                  <w:r w:rsidRPr="00983A09">
                    <w:t>+1.98</w:t>
                  </w:r>
                </w:p>
              </w:tc>
            </w:tr>
            <w:tr w:rsidR="00B24BA3" w:rsidRPr="00EC46EE" w14:paraId="2132992E" w14:textId="77777777" w:rsidTr="00B24BA3">
              <w:tc>
                <w:tcPr>
                  <w:tcW w:w="1491" w:type="dxa"/>
                  <w:shd w:val="clear" w:color="auto" w:fill="F2F2F2" w:themeFill="background1" w:themeFillShade="F2"/>
                </w:tcPr>
                <w:p w14:paraId="20E938AB" w14:textId="77777777" w:rsidR="00B24BA3" w:rsidRPr="00983A09" w:rsidRDefault="00B24BA3" w:rsidP="00B24BA3">
                  <w:pPr>
                    <w:rPr>
                      <w:b/>
                    </w:rPr>
                  </w:pPr>
                  <w:r w:rsidRPr="00983A09">
                    <w:rPr>
                      <w:b/>
                    </w:rPr>
                    <w:t xml:space="preserve">Year 5 </w:t>
                  </w:r>
                </w:p>
                <w:p w14:paraId="2E2FB963" w14:textId="77777777" w:rsidR="00B24BA3" w:rsidRPr="00983A09" w:rsidRDefault="00B24BA3" w:rsidP="00B24BA3">
                  <w:pPr>
                    <w:rPr>
                      <w:b/>
                    </w:rPr>
                  </w:pPr>
                  <w:r w:rsidRPr="00983A09">
                    <w:rPr>
                      <w:b/>
                    </w:rPr>
                    <w:t xml:space="preserve">No SEN </w:t>
                  </w:r>
                </w:p>
              </w:tc>
              <w:tc>
                <w:tcPr>
                  <w:tcW w:w="1572" w:type="dxa"/>
                </w:tcPr>
                <w:p w14:paraId="77E7C674" w14:textId="77777777" w:rsidR="00B24BA3" w:rsidRPr="0053432B" w:rsidRDefault="00B24BA3" w:rsidP="00B24BA3">
                  <w:pPr>
                    <w:jc w:val="center"/>
                  </w:pPr>
                  <w:r>
                    <w:t>75%</w:t>
                  </w:r>
                </w:p>
              </w:tc>
              <w:tc>
                <w:tcPr>
                  <w:tcW w:w="836" w:type="dxa"/>
                </w:tcPr>
                <w:p w14:paraId="11B558E3" w14:textId="77777777" w:rsidR="00B24BA3" w:rsidRPr="0053432B" w:rsidRDefault="00B24BA3" w:rsidP="00B24BA3">
                  <w:pPr>
                    <w:jc w:val="center"/>
                  </w:pPr>
                  <w:r>
                    <w:t>88.57%</w:t>
                  </w:r>
                </w:p>
              </w:tc>
              <w:tc>
                <w:tcPr>
                  <w:tcW w:w="1169" w:type="dxa"/>
                </w:tcPr>
                <w:p w14:paraId="751FC2F8" w14:textId="77777777" w:rsidR="00B24BA3" w:rsidRPr="0053432B" w:rsidRDefault="00B24BA3" w:rsidP="00B24BA3">
                  <w:pPr>
                    <w:jc w:val="center"/>
                  </w:pPr>
                  <w:r>
                    <w:t>-13.57</w:t>
                  </w:r>
                </w:p>
              </w:tc>
              <w:tc>
                <w:tcPr>
                  <w:tcW w:w="1572" w:type="dxa"/>
                </w:tcPr>
                <w:p w14:paraId="5E87A15F" w14:textId="77777777" w:rsidR="00B24BA3" w:rsidRPr="00983A09" w:rsidRDefault="00B24BA3" w:rsidP="00B24BA3">
                  <w:pPr>
                    <w:jc w:val="center"/>
                  </w:pPr>
                  <w:r w:rsidRPr="00983A09">
                    <w:t>17.86%</w:t>
                  </w:r>
                </w:p>
              </w:tc>
              <w:tc>
                <w:tcPr>
                  <w:tcW w:w="836" w:type="dxa"/>
                </w:tcPr>
                <w:p w14:paraId="1446AE54" w14:textId="77777777" w:rsidR="00B24BA3" w:rsidRPr="00983A09" w:rsidRDefault="00B24BA3" w:rsidP="00B24BA3">
                  <w:pPr>
                    <w:jc w:val="center"/>
                  </w:pPr>
                  <w:r w:rsidRPr="00983A09">
                    <w:t>11.43%</w:t>
                  </w:r>
                </w:p>
              </w:tc>
              <w:tc>
                <w:tcPr>
                  <w:tcW w:w="1171" w:type="dxa"/>
                </w:tcPr>
                <w:p w14:paraId="769A86CF" w14:textId="77777777" w:rsidR="00B24BA3" w:rsidRPr="00983A09" w:rsidRDefault="00B24BA3" w:rsidP="00B24BA3">
                  <w:pPr>
                    <w:jc w:val="center"/>
                  </w:pPr>
                  <w:r w:rsidRPr="00983A09">
                    <w:t>+6.43</w:t>
                  </w:r>
                </w:p>
              </w:tc>
            </w:tr>
            <w:tr w:rsidR="00B24BA3" w:rsidRPr="00EC46EE" w14:paraId="70CCB71F" w14:textId="77777777" w:rsidTr="00B24BA3">
              <w:tc>
                <w:tcPr>
                  <w:tcW w:w="1491" w:type="dxa"/>
                  <w:shd w:val="clear" w:color="auto" w:fill="F2F2F2" w:themeFill="background1" w:themeFillShade="F2"/>
                </w:tcPr>
                <w:p w14:paraId="2D2B356E" w14:textId="77777777" w:rsidR="00B24BA3" w:rsidRPr="00983A09" w:rsidRDefault="00B24BA3" w:rsidP="00B24BA3">
                  <w:pPr>
                    <w:rPr>
                      <w:b/>
                    </w:rPr>
                  </w:pPr>
                  <w:r w:rsidRPr="00983A09">
                    <w:rPr>
                      <w:b/>
                    </w:rPr>
                    <w:t>Year 4</w:t>
                  </w:r>
                </w:p>
              </w:tc>
              <w:tc>
                <w:tcPr>
                  <w:tcW w:w="1572" w:type="dxa"/>
                </w:tcPr>
                <w:p w14:paraId="6DAD8DE2" w14:textId="77777777" w:rsidR="00B24BA3" w:rsidRPr="0053432B" w:rsidRDefault="00B24BA3" w:rsidP="00B24BA3">
                  <w:pPr>
                    <w:jc w:val="center"/>
                  </w:pPr>
                  <w:r>
                    <w:t>52.83%</w:t>
                  </w:r>
                </w:p>
              </w:tc>
              <w:tc>
                <w:tcPr>
                  <w:tcW w:w="836" w:type="dxa"/>
                </w:tcPr>
                <w:p w14:paraId="3628F789" w14:textId="77777777" w:rsidR="00B24BA3" w:rsidRPr="0053432B" w:rsidRDefault="00B24BA3" w:rsidP="00B24BA3">
                  <w:pPr>
                    <w:jc w:val="center"/>
                  </w:pPr>
                  <w:r>
                    <w:t>72.5%</w:t>
                  </w:r>
                </w:p>
              </w:tc>
              <w:tc>
                <w:tcPr>
                  <w:tcW w:w="1169" w:type="dxa"/>
                </w:tcPr>
                <w:p w14:paraId="5CAD13EA" w14:textId="77777777" w:rsidR="00B24BA3" w:rsidRPr="0053432B" w:rsidRDefault="00B24BA3" w:rsidP="00B24BA3">
                  <w:pPr>
                    <w:jc w:val="center"/>
                  </w:pPr>
                  <w:r>
                    <w:t>-19.67</w:t>
                  </w:r>
                </w:p>
              </w:tc>
              <w:tc>
                <w:tcPr>
                  <w:tcW w:w="1572" w:type="dxa"/>
                </w:tcPr>
                <w:p w14:paraId="76E1ED58" w14:textId="77777777" w:rsidR="00B24BA3" w:rsidRPr="00983A09" w:rsidRDefault="00B24BA3" w:rsidP="00B24BA3">
                  <w:pPr>
                    <w:jc w:val="center"/>
                  </w:pPr>
                  <w:r w:rsidRPr="00983A09">
                    <w:t>1.89%</w:t>
                  </w:r>
                </w:p>
              </w:tc>
              <w:tc>
                <w:tcPr>
                  <w:tcW w:w="836" w:type="dxa"/>
                </w:tcPr>
                <w:p w14:paraId="545B340A" w14:textId="77777777" w:rsidR="00B24BA3" w:rsidRPr="00983A09" w:rsidRDefault="00B24BA3" w:rsidP="00B24BA3">
                  <w:pPr>
                    <w:jc w:val="center"/>
                  </w:pPr>
                  <w:r w:rsidRPr="00983A09">
                    <w:t>10%</w:t>
                  </w:r>
                </w:p>
              </w:tc>
              <w:tc>
                <w:tcPr>
                  <w:tcW w:w="1171" w:type="dxa"/>
                </w:tcPr>
                <w:p w14:paraId="49E85333" w14:textId="77777777" w:rsidR="00B24BA3" w:rsidRPr="00983A09" w:rsidRDefault="00B24BA3" w:rsidP="00B24BA3">
                  <w:pPr>
                    <w:jc w:val="center"/>
                  </w:pPr>
                  <w:r w:rsidRPr="00983A09">
                    <w:t>-8.11</w:t>
                  </w:r>
                </w:p>
              </w:tc>
            </w:tr>
            <w:tr w:rsidR="00B24BA3" w:rsidRPr="00EC46EE" w14:paraId="4C659D53" w14:textId="77777777" w:rsidTr="00B24BA3">
              <w:tc>
                <w:tcPr>
                  <w:tcW w:w="1491" w:type="dxa"/>
                  <w:shd w:val="clear" w:color="auto" w:fill="F2F2F2" w:themeFill="background1" w:themeFillShade="F2"/>
                </w:tcPr>
                <w:p w14:paraId="789A1A2B" w14:textId="77777777" w:rsidR="00B24BA3" w:rsidRPr="00983A09" w:rsidRDefault="00B24BA3" w:rsidP="00B24BA3">
                  <w:pPr>
                    <w:rPr>
                      <w:b/>
                    </w:rPr>
                  </w:pPr>
                  <w:r w:rsidRPr="00983A09">
                    <w:rPr>
                      <w:b/>
                    </w:rPr>
                    <w:t xml:space="preserve">Year 4 </w:t>
                  </w:r>
                </w:p>
                <w:p w14:paraId="4AEAD1D7" w14:textId="77777777" w:rsidR="00B24BA3" w:rsidRPr="00983A09" w:rsidRDefault="00B24BA3" w:rsidP="00B24BA3">
                  <w:pPr>
                    <w:rPr>
                      <w:b/>
                    </w:rPr>
                  </w:pPr>
                  <w:r w:rsidRPr="00983A09">
                    <w:rPr>
                      <w:b/>
                    </w:rPr>
                    <w:t xml:space="preserve">No SEN </w:t>
                  </w:r>
                </w:p>
              </w:tc>
              <w:tc>
                <w:tcPr>
                  <w:tcW w:w="1572" w:type="dxa"/>
                </w:tcPr>
                <w:p w14:paraId="2D810670" w14:textId="77777777" w:rsidR="00B24BA3" w:rsidRPr="0053432B" w:rsidRDefault="00B24BA3" w:rsidP="00B24BA3">
                  <w:pPr>
                    <w:jc w:val="center"/>
                  </w:pPr>
                  <w:r>
                    <w:t>68.57%</w:t>
                  </w:r>
                </w:p>
              </w:tc>
              <w:tc>
                <w:tcPr>
                  <w:tcW w:w="836" w:type="dxa"/>
                </w:tcPr>
                <w:p w14:paraId="49E0CEA7" w14:textId="77777777" w:rsidR="00B24BA3" w:rsidRPr="0053432B" w:rsidRDefault="00B24BA3" w:rsidP="00B24BA3">
                  <w:pPr>
                    <w:jc w:val="center"/>
                  </w:pPr>
                  <w:r>
                    <w:t>82.35%</w:t>
                  </w:r>
                </w:p>
              </w:tc>
              <w:tc>
                <w:tcPr>
                  <w:tcW w:w="1169" w:type="dxa"/>
                </w:tcPr>
                <w:p w14:paraId="5064BFF3" w14:textId="77777777" w:rsidR="00B24BA3" w:rsidRPr="0053432B" w:rsidRDefault="00B24BA3" w:rsidP="00B24BA3">
                  <w:pPr>
                    <w:jc w:val="center"/>
                  </w:pPr>
                  <w:r>
                    <w:t>-13.78</w:t>
                  </w:r>
                </w:p>
              </w:tc>
              <w:tc>
                <w:tcPr>
                  <w:tcW w:w="1572" w:type="dxa"/>
                </w:tcPr>
                <w:p w14:paraId="44249A9A" w14:textId="77777777" w:rsidR="00B24BA3" w:rsidRPr="00983A09" w:rsidRDefault="00B24BA3" w:rsidP="00B24BA3">
                  <w:pPr>
                    <w:jc w:val="center"/>
                  </w:pPr>
                  <w:r w:rsidRPr="00983A09">
                    <w:t>2.86%</w:t>
                  </w:r>
                </w:p>
              </w:tc>
              <w:tc>
                <w:tcPr>
                  <w:tcW w:w="836" w:type="dxa"/>
                </w:tcPr>
                <w:p w14:paraId="4B4BF12B" w14:textId="77777777" w:rsidR="00B24BA3" w:rsidRPr="00983A09" w:rsidRDefault="00B24BA3" w:rsidP="00B24BA3">
                  <w:pPr>
                    <w:jc w:val="center"/>
                  </w:pPr>
                  <w:r w:rsidRPr="00983A09">
                    <w:t>11.76%</w:t>
                  </w:r>
                </w:p>
              </w:tc>
              <w:tc>
                <w:tcPr>
                  <w:tcW w:w="1171" w:type="dxa"/>
                </w:tcPr>
                <w:p w14:paraId="3B6FD5B0" w14:textId="77777777" w:rsidR="00B24BA3" w:rsidRPr="00983A09" w:rsidRDefault="00B24BA3" w:rsidP="00B24BA3">
                  <w:pPr>
                    <w:jc w:val="center"/>
                  </w:pPr>
                  <w:r w:rsidRPr="00983A09">
                    <w:t>-8.9</w:t>
                  </w:r>
                </w:p>
              </w:tc>
            </w:tr>
            <w:tr w:rsidR="00B24BA3" w:rsidRPr="00EC46EE" w14:paraId="2174CB9D" w14:textId="77777777" w:rsidTr="00B24BA3">
              <w:tc>
                <w:tcPr>
                  <w:tcW w:w="1491" w:type="dxa"/>
                  <w:shd w:val="clear" w:color="auto" w:fill="F2F2F2" w:themeFill="background1" w:themeFillShade="F2"/>
                </w:tcPr>
                <w:p w14:paraId="71515191" w14:textId="77777777" w:rsidR="00B24BA3" w:rsidRPr="00983A09" w:rsidRDefault="00B24BA3" w:rsidP="00B24BA3">
                  <w:pPr>
                    <w:rPr>
                      <w:b/>
                    </w:rPr>
                  </w:pPr>
                  <w:r w:rsidRPr="00983A09">
                    <w:rPr>
                      <w:b/>
                    </w:rPr>
                    <w:t>Year 3</w:t>
                  </w:r>
                </w:p>
              </w:tc>
              <w:tc>
                <w:tcPr>
                  <w:tcW w:w="1572" w:type="dxa"/>
                </w:tcPr>
                <w:p w14:paraId="57B30E67" w14:textId="77777777" w:rsidR="00B24BA3" w:rsidRPr="0053432B" w:rsidRDefault="00B24BA3" w:rsidP="00B24BA3">
                  <w:pPr>
                    <w:jc w:val="center"/>
                  </w:pPr>
                  <w:r>
                    <w:t>45%</w:t>
                  </w:r>
                </w:p>
              </w:tc>
              <w:tc>
                <w:tcPr>
                  <w:tcW w:w="836" w:type="dxa"/>
                </w:tcPr>
                <w:p w14:paraId="0B3C6076" w14:textId="77777777" w:rsidR="00B24BA3" w:rsidRPr="0053432B" w:rsidRDefault="00B24BA3" w:rsidP="00B24BA3">
                  <w:pPr>
                    <w:jc w:val="center"/>
                  </w:pPr>
                  <w:r>
                    <w:t>64.58%</w:t>
                  </w:r>
                </w:p>
              </w:tc>
              <w:tc>
                <w:tcPr>
                  <w:tcW w:w="1169" w:type="dxa"/>
                </w:tcPr>
                <w:p w14:paraId="264D3695" w14:textId="77777777" w:rsidR="00B24BA3" w:rsidRPr="0053432B" w:rsidRDefault="00B24BA3" w:rsidP="00B24BA3">
                  <w:pPr>
                    <w:jc w:val="center"/>
                  </w:pPr>
                  <w:r>
                    <w:t>-19.58</w:t>
                  </w:r>
                </w:p>
              </w:tc>
              <w:tc>
                <w:tcPr>
                  <w:tcW w:w="1572" w:type="dxa"/>
                </w:tcPr>
                <w:p w14:paraId="7B33AFF1" w14:textId="77777777" w:rsidR="00B24BA3" w:rsidRPr="00983A09" w:rsidRDefault="00B24BA3" w:rsidP="00B24BA3">
                  <w:pPr>
                    <w:jc w:val="center"/>
                  </w:pPr>
                  <w:r w:rsidRPr="00983A09">
                    <w:t>2.5%</w:t>
                  </w:r>
                </w:p>
              </w:tc>
              <w:tc>
                <w:tcPr>
                  <w:tcW w:w="836" w:type="dxa"/>
                </w:tcPr>
                <w:p w14:paraId="08F1AB23" w14:textId="77777777" w:rsidR="00B24BA3" w:rsidRPr="00983A09" w:rsidRDefault="00B24BA3" w:rsidP="00B24BA3">
                  <w:pPr>
                    <w:jc w:val="center"/>
                  </w:pPr>
                  <w:r w:rsidRPr="00983A09">
                    <w:t>10.42%</w:t>
                  </w:r>
                </w:p>
              </w:tc>
              <w:tc>
                <w:tcPr>
                  <w:tcW w:w="1171" w:type="dxa"/>
                </w:tcPr>
                <w:p w14:paraId="3A3F177C" w14:textId="77777777" w:rsidR="00B24BA3" w:rsidRPr="00983A09" w:rsidRDefault="00B24BA3" w:rsidP="00B24BA3">
                  <w:pPr>
                    <w:jc w:val="center"/>
                  </w:pPr>
                  <w:r w:rsidRPr="00983A09">
                    <w:t>-7.92</w:t>
                  </w:r>
                </w:p>
              </w:tc>
            </w:tr>
            <w:tr w:rsidR="00B24BA3" w:rsidRPr="00EC46EE" w14:paraId="2856C98C" w14:textId="77777777" w:rsidTr="00B24BA3">
              <w:tc>
                <w:tcPr>
                  <w:tcW w:w="1491" w:type="dxa"/>
                  <w:shd w:val="clear" w:color="auto" w:fill="F2F2F2" w:themeFill="background1" w:themeFillShade="F2"/>
                </w:tcPr>
                <w:p w14:paraId="18B3F82A" w14:textId="77777777" w:rsidR="00B24BA3" w:rsidRPr="00983A09" w:rsidRDefault="00B24BA3" w:rsidP="00B24BA3">
                  <w:pPr>
                    <w:rPr>
                      <w:b/>
                    </w:rPr>
                  </w:pPr>
                  <w:r w:rsidRPr="00983A09">
                    <w:rPr>
                      <w:b/>
                    </w:rPr>
                    <w:lastRenderedPageBreak/>
                    <w:t xml:space="preserve">Year 3 </w:t>
                  </w:r>
                </w:p>
                <w:p w14:paraId="4B442A97" w14:textId="77777777" w:rsidR="00B24BA3" w:rsidRPr="00983A09" w:rsidRDefault="00B24BA3" w:rsidP="00B24BA3">
                  <w:pPr>
                    <w:rPr>
                      <w:b/>
                    </w:rPr>
                  </w:pPr>
                  <w:r w:rsidRPr="00983A09">
                    <w:rPr>
                      <w:b/>
                    </w:rPr>
                    <w:t xml:space="preserve">No SEN </w:t>
                  </w:r>
                </w:p>
              </w:tc>
              <w:tc>
                <w:tcPr>
                  <w:tcW w:w="1572" w:type="dxa"/>
                </w:tcPr>
                <w:p w14:paraId="1122B9B3" w14:textId="77777777" w:rsidR="00B24BA3" w:rsidRPr="0053432B" w:rsidRDefault="00B24BA3" w:rsidP="00B24BA3">
                  <w:pPr>
                    <w:jc w:val="center"/>
                  </w:pPr>
                  <w:r>
                    <w:t>72%</w:t>
                  </w:r>
                </w:p>
              </w:tc>
              <w:tc>
                <w:tcPr>
                  <w:tcW w:w="836" w:type="dxa"/>
                </w:tcPr>
                <w:p w14:paraId="7C3ACF81" w14:textId="77777777" w:rsidR="00B24BA3" w:rsidRPr="0053432B" w:rsidRDefault="00B24BA3" w:rsidP="00B24BA3">
                  <w:pPr>
                    <w:jc w:val="center"/>
                  </w:pPr>
                  <w:r>
                    <w:t>73%</w:t>
                  </w:r>
                </w:p>
              </w:tc>
              <w:tc>
                <w:tcPr>
                  <w:tcW w:w="1169" w:type="dxa"/>
                </w:tcPr>
                <w:p w14:paraId="77379301" w14:textId="77777777" w:rsidR="00B24BA3" w:rsidRPr="0053432B" w:rsidRDefault="00B24BA3" w:rsidP="00B24BA3">
                  <w:pPr>
                    <w:jc w:val="center"/>
                  </w:pPr>
                  <w:r>
                    <w:t>-1</w:t>
                  </w:r>
                </w:p>
              </w:tc>
              <w:tc>
                <w:tcPr>
                  <w:tcW w:w="1572" w:type="dxa"/>
                </w:tcPr>
                <w:p w14:paraId="2A0F730B" w14:textId="77777777" w:rsidR="00B24BA3" w:rsidRPr="00983A09" w:rsidRDefault="00B24BA3" w:rsidP="00B24BA3">
                  <w:pPr>
                    <w:jc w:val="center"/>
                  </w:pPr>
                  <w:r w:rsidRPr="00983A09">
                    <w:t>4%</w:t>
                  </w:r>
                </w:p>
              </w:tc>
              <w:tc>
                <w:tcPr>
                  <w:tcW w:w="836" w:type="dxa"/>
                </w:tcPr>
                <w:p w14:paraId="2DBD3335" w14:textId="77777777" w:rsidR="00B24BA3" w:rsidRPr="00983A09" w:rsidRDefault="00B24BA3" w:rsidP="00B24BA3">
                  <w:pPr>
                    <w:jc w:val="center"/>
                  </w:pPr>
                  <w:r w:rsidRPr="00983A09">
                    <w:t>12%</w:t>
                  </w:r>
                </w:p>
              </w:tc>
              <w:tc>
                <w:tcPr>
                  <w:tcW w:w="1171" w:type="dxa"/>
                </w:tcPr>
                <w:p w14:paraId="4E62334C" w14:textId="77777777" w:rsidR="00B24BA3" w:rsidRPr="00983A09" w:rsidRDefault="00B24BA3" w:rsidP="00B24BA3">
                  <w:pPr>
                    <w:jc w:val="center"/>
                  </w:pPr>
                  <w:r w:rsidRPr="00983A09">
                    <w:t>-8</w:t>
                  </w:r>
                </w:p>
              </w:tc>
            </w:tr>
          </w:tbl>
          <w:p w14:paraId="247EB8A8" w14:textId="41BFAE37" w:rsidR="00B24BA3" w:rsidRPr="008747E1" w:rsidRDefault="008747E1" w:rsidP="008747E1">
            <w:pPr>
              <w:suppressAutoHyphens w:val="0"/>
              <w:autoSpaceDN/>
              <w:spacing w:after="160" w:line="259" w:lineRule="auto"/>
              <w:ind w:left="720" w:hanging="360"/>
            </w:pPr>
            <w:r w:rsidRPr="008747E1">
              <w:t xml:space="preserve">Y6: </w:t>
            </w:r>
            <w:r w:rsidR="00B24BA3" w:rsidRPr="008747E1">
              <w:t>At ARE, the WEJS disadvantaged children are 14.9% higher than and the 2024 National Average for disadvantaged children</w:t>
            </w:r>
          </w:p>
          <w:p w14:paraId="718B5097" w14:textId="4915A735" w:rsidR="008747E1" w:rsidRPr="008747E1" w:rsidRDefault="008747E1" w:rsidP="008747E1">
            <w:pPr>
              <w:suppressAutoHyphens w:val="0"/>
              <w:autoSpaceDN/>
              <w:spacing w:after="160" w:line="259" w:lineRule="auto"/>
              <w:ind w:left="720" w:hanging="360"/>
              <w:rPr>
                <w:b/>
              </w:rPr>
            </w:pPr>
            <w:r w:rsidRPr="008747E1">
              <w:t>In Y5, attainment of disadvantaged children is +1.98% above non-disadvantaged</w:t>
            </w:r>
            <w:r>
              <w:rPr>
                <w:b/>
              </w:rPr>
              <w:t>.</w:t>
            </w:r>
          </w:p>
          <w:p w14:paraId="678019EF" w14:textId="738B1DC7" w:rsidR="008747E1" w:rsidRDefault="008747E1" w:rsidP="008747E1">
            <w:pPr>
              <w:rPr>
                <w:b/>
                <w:sz w:val="28"/>
              </w:rPr>
            </w:pPr>
            <w:r>
              <w:rPr>
                <w:b/>
                <w:sz w:val="28"/>
              </w:rPr>
              <w:t xml:space="preserve">           </w:t>
            </w:r>
          </w:p>
          <w:p w14:paraId="3315A30D" w14:textId="77777777" w:rsidR="008747E1" w:rsidRDefault="008747E1" w:rsidP="008747E1">
            <w:pPr>
              <w:rPr>
                <w:b/>
                <w:sz w:val="28"/>
              </w:rPr>
            </w:pPr>
          </w:p>
          <w:p w14:paraId="2C7ED2BC" w14:textId="67503848" w:rsidR="00B24BA3" w:rsidRPr="008747E1" w:rsidRDefault="008747E1" w:rsidP="008747E1">
            <w:pPr>
              <w:rPr>
                <w:sz w:val="28"/>
              </w:rPr>
            </w:pPr>
            <w:r>
              <w:rPr>
                <w:b/>
                <w:sz w:val="28"/>
              </w:rPr>
              <w:t xml:space="preserve">           </w:t>
            </w:r>
            <w:r w:rsidR="00B24BA3" w:rsidRPr="008747E1">
              <w:rPr>
                <w:b/>
                <w:sz w:val="28"/>
              </w:rPr>
              <w:t>Combined</w:t>
            </w:r>
          </w:p>
          <w:tbl>
            <w:tblPr>
              <w:tblStyle w:val="TableGrid1"/>
              <w:tblW w:w="0" w:type="auto"/>
              <w:tblInd w:w="846" w:type="dxa"/>
              <w:tblLayout w:type="fixed"/>
              <w:tblLook w:val="04A0" w:firstRow="1" w:lastRow="0" w:firstColumn="1" w:lastColumn="0" w:noHBand="0" w:noVBand="1"/>
            </w:tblPr>
            <w:tblGrid>
              <w:gridCol w:w="1471"/>
              <w:gridCol w:w="1445"/>
              <w:gridCol w:w="873"/>
              <w:gridCol w:w="1079"/>
              <w:gridCol w:w="1445"/>
              <w:gridCol w:w="778"/>
              <w:gridCol w:w="1079"/>
            </w:tblGrid>
            <w:tr w:rsidR="00B24BA3" w:rsidRPr="00EC46EE" w14:paraId="012BB1FC" w14:textId="77777777" w:rsidTr="00B24BA3">
              <w:tc>
                <w:tcPr>
                  <w:tcW w:w="1471" w:type="dxa"/>
                  <w:shd w:val="clear" w:color="auto" w:fill="F2F2F2" w:themeFill="background1" w:themeFillShade="F2"/>
                </w:tcPr>
                <w:p w14:paraId="186737A3" w14:textId="77777777" w:rsidR="00B24BA3" w:rsidRPr="00247B11" w:rsidRDefault="00B24BA3" w:rsidP="00B24BA3">
                  <w:pPr>
                    <w:jc w:val="center"/>
                    <w:rPr>
                      <w:b/>
                    </w:rPr>
                  </w:pPr>
                </w:p>
              </w:tc>
              <w:tc>
                <w:tcPr>
                  <w:tcW w:w="3397" w:type="dxa"/>
                  <w:gridSpan w:val="3"/>
                  <w:shd w:val="clear" w:color="auto" w:fill="F2F2F2" w:themeFill="background1" w:themeFillShade="F2"/>
                </w:tcPr>
                <w:p w14:paraId="4ACE2AAD" w14:textId="77777777" w:rsidR="00B24BA3" w:rsidRPr="00247B11" w:rsidRDefault="00B24BA3" w:rsidP="00B24BA3">
                  <w:pPr>
                    <w:jc w:val="center"/>
                    <w:rPr>
                      <w:b/>
                    </w:rPr>
                  </w:pPr>
                  <w:r w:rsidRPr="00247B11">
                    <w:rPr>
                      <w:b/>
                    </w:rPr>
                    <w:t>At Expected Standard</w:t>
                  </w:r>
                </w:p>
              </w:tc>
              <w:tc>
                <w:tcPr>
                  <w:tcW w:w="3302" w:type="dxa"/>
                  <w:gridSpan w:val="3"/>
                  <w:shd w:val="clear" w:color="auto" w:fill="F2F2F2" w:themeFill="background1" w:themeFillShade="F2"/>
                </w:tcPr>
                <w:p w14:paraId="62480D1B" w14:textId="77777777" w:rsidR="00B24BA3" w:rsidRPr="00247B11" w:rsidRDefault="00B24BA3" w:rsidP="00B24BA3">
                  <w:pPr>
                    <w:jc w:val="center"/>
                    <w:rPr>
                      <w:b/>
                    </w:rPr>
                  </w:pPr>
                  <w:r w:rsidRPr="00247B11">
                    <w:rPr>
                      <w:b/>
                    </w:rPr>
                    <w:t>At the Higher Standard</w:t>
                  </w:r>
                </w:p>
              </w:tc>
            </w:tr>
            <w:tr w:rsidR="00B24BA3" w:rsidRPr="00EC46EE" w14:paraId="0CDDEC58" w14:textId="77777777" w:rsidTr="00B24BA3">
              <w:tc>
                <w:tcPr>
                  <w:tcW w:w="1471" w:type="dxa"/>
                  <w:tcBorders>
                    <w:bottom w:val="single" w:sz="4" w:space="0" w:color="auto"/>
                  </w:tcBorders>
                  <w:shd w:val="clear" w:color="auto" w:fill="F2F2F2" w:themeFill="background1" w:themeFillShade="F2"/>
                </w:tcPr>
                <w:p w14:paraId="0457B69D" w14:textId="77777777" w:rsidR="00B24BA3" w:rsidRPr="00247B11" w:rsidRDefault="00B24BA3" w:rsidP="00B24BA3">
                  <w:pPr>
                    <w:jc w:val="center"/>
                    <w:rPr>
                      <w:b/>
                    </w:rPr>
                  </w:pPr>
                </w:p>
              </w:tc>
              <w:tc>
                <w:tcPr>
                  <w:tcW w:w="1445" w:type="dxa"/>
                  <w:tcBorders>
                    <w:bottom w:val="single" w:sz="4" w:space="0" w:color="auto"/>
                  </w:tcBorders>
                  <w:shd w:val="clear" w:color="auto" w:fill="F2F2F2" w:themeFill="background1" w:themeFillShade="F2"/>
                </w:tcPr>
                <w:p w14:paraId="34056301" w14:textId="77777777" w:rsidR="00B24BA3" w:rsidRPr="008747E1" w:rsidRDefault="00B24BA3" w:rsidP="00B24BA3">
                  <w:pPr>
                    <w:rPr>
                      <w:b/>
                      <w:sz w:val="18"/>
                    </w:rPr>
                  </w:pPr>
                  <w:r w:rsidRPr="008747E1">
                    <w:rPr>
                      <w:b/>
                      <w:sz w:val="18"/>
                    </w:rPr>
                    <w:t>Disadvantaged</w:t>
                  </w:r>
                </w:p>
              </w:tc>
              <w:tc>
                <w:tcPr>
                  <w:tcW w:w="873" w:type="dxa"/>
                  <w:tcBorders>
                    <w:bottom w:val="single" w:sz="4" w:space="0" w:color="auto"/>
                  </w:tcBorders>
                  <w:shd w:val="clear" w:color="auto" w:fill="F2F2F2" w:themeFill="background1" w:themeFillShade="F2"/>
                </w:tcPr>
                <w:p w14:paraId="4DB3E4A7" w14:textId="77777777" w:rsidR="00B24BA3" w:rsidRPr="008747E1" w:rsidRDefault="00B24BA3" w:rsidP="00B24BA3">
                  <w:pPr>
                    <w:rPr>
                      <w:b/>
                      <w:sz w:val="18"/>
                    </w:rPr>
                  </w:pPr>
                  <w:r w:rsidRPr="008747E1">
                    <w:rPr>
                      <w:b/>
                      <w:sz w:val="18"/>
                    </w:rPr>
                    <w:t>Others</w:t>
                  </w:r>
                </w:p>
              </w:tc>
              <w:tc>
                <w:tcPr>
                  <w:tcW w:w="1079" w:type="dxa"/>
                  <w:tcBorders>
                    <w:bottom w:val="single" w:sz="4" w:space="0" w:color="auto"/>
                  </w:tcBorders>
                  <w:shd w:val="clear" w:color="auto" w:fill="F2F2F2" w:themeFill="background1" w:themeFillShade="F2"/>
                </w:tcPr>
                <w:p w14:paraId="0957B991" w14:textId="77777777" w:rsidR="00B24BA3" w:rsidRPr="008747E1" w:rsidRDefault="00B24BA3" w:rsidP="00B24BA3">
                  <w:pPr>
                    <w:rPr>
                      <w:b/>
                      <w:sz w:val="18"/>
                    </w:rPr>
                  </w:pPr>
                  <w:r w:rsidRPr="008747E1">
                    <w:rPr>
                      <w:b/>
                      <w:sz w:val="18"/>
                    </w:rPr>
                    <w:t xml:space="preserve">Difference </w:t>
                  </w:r>
                </w:p>
              </w:tc>
              <w:tc>
                <w:tcPr>
                  <w:tcW w:w="1445" w:type="dxa"/>
                  <w:tcBorders>
                    <w:bottom w:val="single" w:sz="4" w:space="0" w:color="auto"/>
                  </w:tcBorders>
                  <w:shd w:val="clear" w:color="auto" w:fill="F2F2F2" w:themeFill="background1" w:themeFillShade="F2"/>
                </w:tcPr>
                <w:p w14:paraId="0576B836" w14:textId="77777777" w:rsidR="00B24BA3" w:rsidRPr="008747E1" w:rsidRDefault="00B24BA3" w:rsidP="00B24BA3">
                  <w:pPr>
                    <w:rPr>
                      <w:b/>
                      <w:sz w:val="18"/>
                    </w:rPr>
                  </w:pPr>
                  <w:r w:rsidRPr="008747E1">
                    <w:rPr>
                      <w:b/>
                      <w:sz w:val="18"/>
                    </w:rPr>
                    <w:t>Disadvantaged</w:t>
                  </w:r>
                </w:p>
              </w:tc>
              <w:tc>
                <w:tcPr>
                  <w:tcW w:w="778" w:type="dxa"/>
                  <w:tcBorders>
                    <w:bottom w:val="single" w:sz="4" w:space="0" w:color="auto"/>
                  </w:tcBorders>
                  <w:shd w:val="clear" w:color="auto" w:fill="F2F2F2" w:themeFill="background1" w:themeFillShade="F2"/>
                </w:tcPr>
                <w:p w14:paraId="36859C80" w14:textId="77777777" w:rsidR="00B24BA3" w:rsidRPr="008747E1" w:rsidRDefault="00B24BA3" w:rsidP="00B24BA3">
                  <w:pPr>
                    <w:rPr>
                      <w:b/>
                      <w:sz w:val="18"/>
                    </w:rPr>
                  </w:pPr>
                  <w:r w:rsidRPr="008747E1">
                    <w:rPr>
                      <w:b/>
                      <w:sz w:val="18"/>
                    </w:rPr>
                    <w:t>Others</w:t>
                  </w:r>
                </w:p>
              </w:tc>
              <w:tc>
                <w:tcPr>
                  <w:tcW w:w="1079" w:type="dxa"/>
                  <w:tcBorders>
                    <w:bottom w:val="single" w:sz="4" w:space="0" w:color="auto"/>
                  </w:tcBorders>
                  <w:shd w:val="clear" w:color="auto" w:fill="F2F2F2" w:themeFill="background1" w:themeFillShade="F2"/>
                </w:tcPr>
                <w:p w14:paraId="3ED1ACC6" w14:textId="77777777" w:rsidR="00B24BA3" w:rsidRPr="008747E1" w:rsidRDefault="00B24BA3" w:rsidP="00B24BA3">
                  <w:pPr>
                    <w:rPr>
                      <w:b/>
                      <w:sz w:val="18"/>
                    </w:rPr>
                  </w:pPr>
                  <w:r w:rsidRPr="008747E1">
                    <w:rPr>
                      <w:b/>
                      <w:sz w:val="18"/>
                    </w:rPr>
                    <w:t xml:space="preserve">Difference </w:t>
                  </w:r>
                </w:p>
              </w:tc>
            </w:tr>
            <w:tr w:rsidR="00B24BA3" w:rsidRPr="00EC46EE" w14:paraId="17DC5F25" w14:textId="77777777" w:rsidTr="00B24BA3">
              <w:tc>
                <w:tcPr>
                  <w:tcW w:w="1471" w:type="dxa"/>
                  <w:shd w:val="clear" w:color="auto" w:fill="F2F2F2" w:themeFill="background1" w:themeFillShade="F2"/>
                </w:tcPr>
                <w:p w14:paraId="38C0993A" w14:textId="77777777" w:rsidR="00B24BA3" w:rsidRPr="004633F9" w:rsidRDefault="00B24BA3" w:rsidP="00B24BA3">
                  <w:pPr>
                    <w:rPr>
                      <w:b/>
                    </w:rPr>
                  </w:pPr>
                  <w:r w:rsidRPr="004633F9">
                    <w:rPr>
                      <w:b/>
                    </w:rPr>
                    <w:t>National 2024</w:t>
                  </w:r>
                </w:p>
              </w:tc>
              <w:tc>
                <w:tcPr>
                  <w:tcW w:w="1445" w:type="dxa"/>
                  <w:shd w:val="clear" w:color="auto" w:fill="DAEEF3" w:themeFill="accent5" w:themeFillTint="33"/>
                </w:tcPr>
                <w:p w14:paraId="4FC314D2" w14:textId="77777777" w:rsidR="00B24BA3" w:rsidRPr="004633F9" w:rsidRDefault="00B24BA3" w:rsidP="00B24BA3">
                  <w:pPr>
                    <w:jc w:val="center"/>
                  </w:pPr>
                  <w:r w:rsidRPr="004633F9">
                    <w:t>45%</w:t>
                  </w:r>
                </w:p>
              </w:tc>
              <w:tc>
                <w:tcPr>
                  <w:tcW w:w="873" w:type="dxa"/>
                  <w:shd w:val="clear" w:color="auto" w:fill="DAEEF3" w:themeFill="accent5" w:themeFillTint="33"/>
                </w:tcPr>
                <w:p w14:paraId="0A029276" w14:textId="77777777" w:rsidR="00B24BA3" w:rsidRPr="004633F9" w:rsidRDefault="00B24BA3" w:rsidP="00B24BA3">
                  <w:pPr>
                    <w:jc w:val="center"/>
                  </w:pPr>
                  <w:r w:rsidRPr="004633F9">
                    <w:t>67%</w:t>
                  </w:r>
                </w:p>
              </w:tc>
              <w:tc>
                <w:tcPr>
                  <w:tcW w:w="1079" w:type="dxa"/>
                  <w:shd w:val="clear" w:color="auto" w:fill="DAEEF3" w:themeFill="accent5" w:themeFillTint="33"/>
                </w:tcPr>
                <w:p w14:paraId="1FB96800" w14:textId="77777777" w:rsidR="00B24BA3" w:rsidRPr="004633F9" w:rsidRDefault="00B24BA3" w:rsidP="00B24BA3">
                  <w:pPr>
                    <w:jc w:val="center"/>
                  </w:pPr>
                  <w:r w:rsidRPr="004633F9">
                    <w:t>-22%</w:t>
                  </w:r>
                </w:p>
              </w:tc>
              <w:tc>
                <w:tcPr>
                  <w:tcW w:w="1445" w:type="dxa"/>
                  <w:shd w:val="clear" w:color="auto" w:fill="DAEEF3" w:themeFill="accent5" w:themeFillTint="33"/>
                </w:tcPr>
                <w:p w14:paraId="26D78525" w14:textId="77777777" w:rsidR="00B24BA3" w:rsidRPr="004633F9" w:rsidRDefault="00B24BA3" w:rsidP="00B24BA3">
                  <w:pPr>
                    <w:jc w:val="center"/>
                  </w:pPr>
                  <w:r w:rsidRPr="004633F9">
                    <w:t>3%</w:t>
                  </w:r>
                </w:p>
              </w:tc>
              <w:tc>
                <w:tcPr>
                  <w:tcW w:w="778" w:type="dxa"/>
                  <w:shd w:val="clear" w:color="auto" w:fill="DAEEF3" w:themeFill="accent5" w:themeFillTint="33"/>
                </w:tcPr>
                <w:p w14:paraId="351B984F" w14:textId="77777777" w:rsidR="00B24BA3" w:rsidRPr="004633F9" w:rsidRDefault="00B24BA3" w:rsidP="00B24BA3">
                  <w:pPr>
                    <w:jc w:val="center"/>
                  </w:pPr>
                  <w:r w:rsidRPr="004633F9">
                    <w:t>10%</w:t>
                  </w:r>
                </w:p>
              </w:tc>
              <w:tc>
                <w:tcPr>
                  <w:tcW w:w="1079" w:type="dxa"/>
                  <w:shd w:val="clear" w:color="auto" w:fill="DAEEF3" w:themeFill="accent5" w:themeFillTint="33"/>
                </w:tcPr>
                <w:p w14:paraId="7EAEED8E" w14:textId="77777777" w:rsidR="00B24BA3" w:rsidRPr="004633F9" w:rsidRDefault="00B24BA3" w:rsidP="00B24BA3">
                  <w:pPr>
                    <w:jc w:val="center"/>
                  </w:pPr>
                  <w:r w:rsidRPr="004633F9">
                    <w:t>-7%</w:t>
                  </w:r>
                </w:p>
              </w:tc>
            </w:tr>
            <w:tr w:rsidR="00B24BA3" w:rsidRPr="00EC46EE" w14:paraId="373CD834" w14:textId="77777777" w:rsidTr="00B24BA3">
              <w:tc>
                <w:tcPr>
                  <w:tcW w:w="1471" w:type="dxa"/>
                  <w:shd w:val="clear" w:color="auto" w:fill="F2F2F2" w:themeFill="background1" w:themeFillShade="F2"/>
                </w:tcPr>
                <w:p w14:paraId="7C3AB9F9" w14:textId="77777777" w:rsidR="00B24BA3" w:rsidRPr="004633F9" w:rsidRDefault="00B24BA3" w:rsidP="00B24BA3">
                  <w:pPr>
                    <w:rPr>
                      <w:b/>
                    </w:rPr>
                  </w:pPr>
                  <w:r>
                    <w:rPr>
                      <w:b/>
                    </w:rPr>
                    <w:t>Birmingham 2024</w:t>
                  </w:r>
                </w:p>
              </w:tc>
              <w:tc>
                <w:tcPr>
                  <w:tcW w:w="1445" w:type="dxa"/>
                  <w:shd w:val="clear" w:color="auto" w:fill="DAEEF3" w:themeFill="accent5" w:themeFillTint="33"/>
                </w:tcPr>
                <w:p w14:paraId="73FD73C0" w14:textId="77777777" w:rsidR="00B24BA3" w:rsidRPr="004633F9" w:rsidRDefault="00B24BA3" w:rsidP="00B24BA3">
                  <w:pPr>
                    <w:jc w:val="center"/>
                  </w:pPr>
                  <w:r>
                    <w:t>52.2%</w:t>
                  </w:r>
                </w:p>
              </w:tc>
              <w:tc>
                <w:tcPr>
                  <w:tcW w:w="873" w:type="dxa"/>
                  <w:shd w:val="clear" w:color="auto" w:fill="DAEEF3" w:themeFill="accent5" w:themeFillTint="33"/>
                </w:tcPr>
                <w:p w14:paraId="5D4E74F9" w14:textId="77777777" w:rsidR="00B24BA3" w:rsidRPr="004633F9" w:rsidRDefault="00B24BA3" w:rsidP="00B24BA3">
                  <w:pPr>
                    <w:jc w:val="center"/>
                  </w:pPr>
                  <w:r>
                    <w:t>68.1%</w:t>
                  </w:r>
                </w:p>
              </w:tc>
              <w:tc>
                <w:tcPr>
                  <w:tcW w:w="1079" w:type="dxa"/>
                  <w:shd w:val="clear" w:color="auto" w:fill="DAEEF3" w:themeFill="accent5" w:themeFillTint="33"/>
                </w:tcPr>
                <w:p w14:paraId="25EA67C6" w14:textId="77777777" w:rsidR="00B24BA3" w:rsidRPr="004633F9" w:rsidRDefault="00B24BA3" w:rsidP="00B24BA3">
                  <w:pPr>
                    <w:jc w:val="center"/>
                  </w:pPr>
                  <w:r>
                    <w:t>-15.9</w:t>
                  </w:r>
                </w:p>
              </w:tc>
              <w:tc>
                <w:tcPr>
                  <w:tcW w:w="1445" w:type="dxa"/>
                  <w:shd w:val="clear" w:color="auto" w:fill="DAEEF3" w:themeFill="accent5" w:themeFillTint="33"/>
                </w:tcPr>
                <w:p w14:paraId="2C9BDF50" w14:textId="77777777" w:rsidR="00B24BA3" w:rsidRPr="004633F9" w:rsidRDefault="00B24BA3" w:rsidP="00B24BA3">
                  <w:pPr>
                    <w:jc w:val="center"/>
                  </w:pPr>
                  <w:r>
                    <w:t>4%</w:t>
                  </w:r>
                </w:p>
              </w:tc>
              <w:tc>
                <w:tcPr>
                  <w:tcW w:w="778" w:type="dxa"/>
                  <w:shd w:val="clear" w:color="auto" w:fill="DAEEF3" w:themeFill="accent5" w:themeFillTint="33"/>
                </w:tcPr>
                <w:p w14:paraId="72D2C55E" w14:textId="77777777" w:rsidR="00B24BA3" w:rsidRPr="004633F9" w:rsidRDefault="00B24BA3" w:rsidP="00B24BA3">
                  <w:pPr>
                    <w:jc w:val="center"/>
                  </w:pPr>
                  <w:r>
                    <w:t>9.6%</w:t>
                  </w:r>
                </w:p>
              </w:tc>
              <w:tc>
                <w:tcPr>
                  <w:tcW w:w="1079" w:type="dxa"/>
                  <w:shd w:val="clear" w:color="auto" w:fill="DAEEF3" w:themeFill="accent5" w:themeFillTint="33"/>
                </w:tcPr>
                <w:p w14:paraId="1AEAA807" w14:textId="77777777" w:rsidR="00B24BA3" w:rsidRPr="004633F9" w:rsidRDefault="00B24BA3" w:rsidP="00B24BA3">
                  <w:pPr>
                    <w:jc w:val="center"/>
                  </w:pPr>
                  <w:r>
                    <w:t>-5.6</w:t>
                  </w:r>
                </w:p>
              </w:tc>
            </w:tr>
            <w:tr w:rsidR="00B24BA3" w:rsidRPr="00EC46EE" w14:paraId="272A8BC6" w14:textId="77777777" w:rsidTr="00B24BA3">
              <w:tc>
                <w:tcPr>
                  <w:tcW w:w="1471" w:type="dxa"/>
                  <w:shd w:val="clear" w:color="auto" w:fill="F2F2F2" w:themeFill="background1" w:themeFillShade="F2"/>
                </w:tcPr>
                <w:p w14:paraId="343F1D8E" w14:textId="77777777" w:rsidR="00B24BA3" w:rsidRPr="00247B11" w:rsidRDefault="00B24BA3" w:rsidP="00B24BA3">
                  <w:pPr>
                    <w:rPr>
                      <w:b/>
                    </w:rPr>
                  </w:pPr>
                  <w:r w:rsidRPr="00247B11">
                    <w:rPr>
                      <w:b/>
                    </w:rPr>
                    <w:t>Year 6</w:t>
                  </w:r>
                </w:p>
              </w:tc>
              <w:tc>
                <w:tcPr>
                  <w:tcW w:w="1445" w:type="dxa"/>
                  <w:shd w:val="clear" w:color="auto" w:fill="DAEEF3" w:themeFill="accent5" w:themeFillTint="33"/>
                </w:tcPr>
                <w:p w14:paraId="745DA22E" w14:textId="77777777" w:rsidR="00B24BA3" w:rsidRPr="00247B11" w:rsidRDefault="00B24BA3" w:rsidP="00B24BA3">
                  <w:pPr>
                    <w:jc w:val="center"/>
                  </w:pPr>
                  <w:r>
                    <w:t>47.5%</w:t>
                  </w:r>
                </w:p>
              </w:tc>
              <w:tc>
                <w:tcPr>
                  <w:tcW w:w="873" w:type="dxa"/>
                  <w:shd w:val="clear" w:color="auto" w:fill="DAEEF3" w:themeFill="accent5" w:themeFillTint="33"/>
                </w:tcPr>
                <w:p w14:paraId="4723B77F" w14:textId="77777777" w:rsidR="00B24BA3" w:rsidRPr="00247B11" w:rsidRDefault="00B24BA3" w:rsidP="00B24BA3">
                  <w:pPr>
                    <w:jc w:val="center"/>
                  </w:pPr>
                  <w:r>
                    <w:t>60.4%</w:t>
                  </w:r>
                </w:p>
              </w:tc>
              <w:tc>
                <w:tcPr>
                  <w:tcW w:w="1079" w:type="dxa"/>
                  <w:shd w:val="clear" w:color="auto" w:fill="DAEEF3" w:themeFill="accent5" w:themeFillTint="33"/>
                </w:tcPr>
                <w:p w14:paraId="4043557C" w14:textId="77777777" w:rsidR="00B24BA3" w:rsidRPr="00247B11" w:rsidRDefault="00B24BA3" w:rsidP="00B24BA3">
                  <w:pPr>
                    <w:jc w:val="center"/>
                  </w:pPr>
                  <w:r>
                    <w:t>-12.9</w:t>
                  </w:r>
                </w:p>
              </w:tc>
              <w:tc>
                <w:tcPr>
                  <w:tcW w:w="1445" w:type="dxa"/>
                  <w:shd w:val="clear" w:color="auto" w:fill="DAEEF3" w:themeFill="accent5" w:themeFillTint="33"/>
                </w:tcPr>
                <w:p w14:paraId="7233416C" w14:textId="77777777" w:rsidR="00B24BA3" w:rsidRPr="00247B11" w:rsidRDefault="00B24BA3" w:rsidP="00B24BA3">
                  <w:pPr>
                    <w:jc w:val="center"/>
                  </w:pPr>
                  <w:r>
                    <w:t>2.5%</w:t>
                  </w:r>
                </w:p>
              </w:tc>
              <w:tc>
                <w:tcPr>
                  <w:tcW w:w="778" w:type="dxa"/>
                  <w:shd w:val="clear" w:color="auto" w:fill="DAEEF3" w:themeFill="accent5" w:themeFillTint="33"/>
                </w:tcPr>
                <w:p w14:paraId="3361C219" w14:textId="77777777" w:rsidR="00B24BA3" w:rsidRPr="00247B11" w:rsidRDefault="00B24BA3" w:rsidP="00B24BA3">
                  <w:pPr>
                    <w:jc w:val="center"/>
                  </w:pPr>
                  <w:r>
                    <w:t>9.4%</w:t>
                  </w:r>
                </w:p>
              </w:tc>
              <w:tc>
                <w:tcPr>
                  <w:tcW w:w="1079" w:type="dxa"/>
                  <w:shd w:val="clear" w:color="auto" w:fill="DAEEF3" w:themeFill="accent5" w:themeFillTint="33"/>
                </w:tcPr>
                <w:p w14:paraId="48600848" w14:textId="77777777" w:rsidR="00B24BA3" w:rsidRPr="00247B11" w:rsidRDefault="00B24BA3" w:rsidP="00B24BA3">
                  <w:pPr>
                    <w:jc w:val="center"/>
                  </w:pPr>
                  <w:r>
                    <w:t>-6.9</w:t>
                  </w:r>
                </w:p>
              </w:tc>
            </w:tr>
            <w:tr w:rsidR="00B24BA3" w:rsidRPr="00EC46EE" w14:paraId="4C32868B" w14:textId="77777777" w:rsidTr="00B24BA3">
              <w:tc>
                <w:tcPr>
                  <w:tcW w:w="1471" w:type="dxa"/>
                  <w:shd w:val="clear" w:color="auto" w:fill="F2F2F2" w:themeFill="background1" w:themeFillShade="F2"/>
                </w:tcPr>
                <w:p w14:paraId="2640E7B3" w14:textId="77777777" w:rsidR="00B24BA3" w:rsidRPr="00247B11" w:rsidRDefault="00B24BA3" w:rsidP="00B24BA3">
                  <w:pPr>
                    <w:rPr>
                      <w:b/>
                    </w:rPr>
                  </w:pPr>
                  <w:r w:rsidRPr="00247B11">
                    <w:rPr>
                      <w:b/>
                    </w:rPr>
                    <w:t xml:space="preserve">Year 6 </w:t>
                  </w:r>
                </w:p>
                <w:p w14:paraId="23057D6B" w14:textId="77777777" w:rsidR="00B24BA3" w:rsidRPr="00247B11" w:rsidRDefault="00B24BA3" w:rsidP="00B24BA3">
                  <w:pPr>
                    <w:rPr>
                      <w:b/>
                    </w:rPr>
                  </w:pPr>
                  <w:r w:rsidRPr="00247B11">
                    <w:rPr>
                      <w:b/>
                    </w:rPr>
                    <w:t xml:space="preserve">No SEN </w:t>
                  </w:r>
                </w:p>
              </w:tc>
              <w:tc>
                <w:tcPr>
                  <w:tcW w:w="1445" w:type="dxa"/>
                  <w:shd w:val="clear" w:color="auto" w:fill="DAEEF3" w:themeFill="accent5" w:themeFillTint="33"/>
                </w:tcPr>
                <w:p w14:paraId="24A93EF9" w14:textId="77777777" w:rsidR="00B24BA3" w:rsidRPr="00247B11" w:rsidRDefault="00B24BA3" w:rsidP="00B24BA3">
                  <w:pPr>
                    <w:jc w:val="center"/>
                  </w:pPr>
                  <w:r>
                    <w:t>66.7%</w:t>
                  </w:r>
                </w:p>
              </w:tc>
              <w:tc>
                <w:tcPr>
                  <w:tcW w:w="873" w:type="dxa"/>
                  <w:shd w:val="clear" w:color="auto" w:fill="DAEEF3" w:themeFill="accent5" w:themeFillTint="33"/>
                </w:tcPr>
                <w:p w14:paraId="0BE1ACC7" w14:textId="77777777" w:rsidR="00B24BA3" w:rsidRPr="00247B11" w:rsidRDefault="00B24BA3" w:rsidP="00B24BA3">
                  <w:pPr>
                    <w:jc w:val="center"/>
                  </w:pPr>
                  <w:r>
                    <w:t>70.7%</w:t>
                  </w:r>
                </w:p>
              </w:tc>
              <w:tc>
                <w:tcPr>
                  <w:tcW w:w="1079" w:type="dxa"/>
                  <w:shd w:val="clear" w:color="auto" w:fill="DAEEF3" w:themeFill="accent5" w:themeFillTint="33"/>
                </w:tcPr>
                <w:p w14:paraId="6BAE0B5B" w14:textId="77777777" w:rsidR="00B24BA3" w:rsidRPr="00247B11" w:rsidRDefault="00B24BA3" w:rsidP="00B24BA3">
                  <w:pPr>
                    <w:jc w:val="center"/>
                  </w:pPr>
                  <w:r>
                    <w:t>-4</w:t>
                  </w:r>
                </w:p>
              </w:tc>
              <w:tc>
                <w:tcPr>
                  <w:tcW w:w="1445" w:type="dxa"/>
                  <w:shd w:val="clear" w:color="auto" w:fill="DAEEF3" w:themeFill="accent5" w:themeFillTint="33"/>
                </w:tcPr>
                <w:p w14:paraId="0EF6A3B0" w14:textId="77777777" w:rsidR="00B24BA3" w:rsidRPr="00247B11" w:rsidRDefault="00B24BA3" w:rsidP="00B24BA3">
                  <w:pPr>
                    <w:jc w:val="center"/>
                  </w:pPr>
                  <w:r>
                    <w:t>3.7%</w:t>
                  </w:r>
                </w:p>
              </w:tc>
              <w:tc>
                <w:tcPr>
                  <w:tcW w:w="778" w:type="dxa"/>
                  <w:shd w:val="clear" w:color="auto" w:fill="DAEEF3" w:themeFill="accent5" w:themeFillTint="33"/>
                </w:tcPr>
                <w:p w14:paraId="26F253B5" w14:textId="77777777" w:rsidR="00B24BA3" w:rsidRPr="00247B11" w:rsidRDefault="00B24BA3" w:rsidP="00B24BA3">
                  <w:pPr>
                    <w:jc w:val="center"/>
                  </w:pPr>
                  <w:r>
                    <w:t>12.2%</w:t>
                  </w:r>
                </w:p>
              </w:tc>
              <w:tc>
                <w:tcPr>
                  <w:tcW w:w="1079" w:type="dxa"/>
                  <w:shd w:val="clear" w:color="auto" w:fill="DAEEF3" w:themeFill="accent5" w:themeFillTint="33"/>
                </w:tcPr>
                <w:p w14:paraId="39820625" w14:textId="77777777" w:rsidR="00B24BA3" w:rsidRPr="00247B11" w:rsidRDefault="00B24BA3" w:rsidP="00B24BA3">
                  <w:pPr>
                    <w:jc w:val="center"/>
                  </w:pPr>
                  <w:r>
                    <w:t>-8.5</w:t>
                  </w:r>
                </w:p>
              </w:tc>
            </w:tr>
            <w:tr w:rsidR="00B24BA3" w:rsidRPr="00EC46EE" w14:paraId="44758B13" w14:textId="77777777" w:rsidTr="00B24BA3">
              <w:tc>
                <w:tcPr>
                  <w:tcW w:w="1471" w:type="dxa"/>
                  <w:shd w:val="clear" w:color="auto" w:fill="F2F2F2" w:themeFill="background1" w:themeFillShade="F2"/>
                </w:tcPr>
                <w:p w14:paraId="496058D0" w14:textId="77777777" w:rsidR="00B24BA3" w:rsidRPr="00247B11" w:rsidRDefault="00B24BA3" w:rsidP="00B24BA3">
                  <w:pPr>
                    <w:rPr>
                      <w:b/>
                    </w:rPr>
                  </w:pPr>
                  <w:r w:rsidRPr="00247B11">
                    <w:rPr>
                      <w:b/>
                    </w:rPr>
                    <w:t>Year 5</w:t>
                  </w:r>
                </w:p>
              </w:tc>
              <w:tc>
                <w:tcPr>
                  <w:tcW w:w="1445" w:type="dxa"/>
                </w:tcPr>
                <w:p w14:paraId="103C06FF" w14:textId="77777777" w:rsidR="00B24BA3" w:rsidRPr="00247B11" w:rsidRDefault="00B24BA3" w:rsidP="00B24BA3">
                  <w:pPr>
                    <w:jc w:val="center"/>
                  </w:pPr>
                  <w:r>
                    <w:t>47.83%</w:t>
                  </w:r>
                </w:p>
              </w:tc>
              <w:tc>
                <w:tcPr>
                  <w:tcW w:w="873" w:type="dxa"/>
                </w:tcPr>
                <w:p w14:paraId="69E51989" w14:textId="77777777" w:rsidR="00B24BA3" w:rsidRPr="00247B11" w:rsidRDefault="00B24BA3" w:rsidP="00B24BA3">
                  <w:pPr>
                    <w:jc w:val="center"/>
                  </w:pPr>
                  <w:r>
                    <w:t>75.56%</w:t>
                  </w:r>
                </w:p>
              </w:tc>
              <w:tc>
                <w:tcPr>
                  <w:tcW w:w="1079" w:type="dxa"/>
                </w:tcPr>
                <w:p w14:paraId="15117FC1" w14:textId="77777777" w:rsidR="00B24BA3" w:rsidRPr="00247B11" w:rsidRDefault="00B24BA3" w:rsidP="00B24BA3">
                  <w:pPr>
                    <w:jc w:val="center"/>
                  </w:pPr>
                  <w:r>
                    <w:t>-27.73</w:t>
                  </w:r>
                </w:p>
              </w:tc>
              <w:tc>
                <w:tcPr>
                  <w:tcW w:w="1445" w:type="dxa"/>
                </w:tcPr>
                <w:p w14:paraId="5B5EC091" w14:textId="77777777" w:rsidR="00B24BA3" w:rsidRPr="00247B11" w:rsidRDefault="00B24BA3" w:rsidP="00B24BA3">
                  <w:pPr>
                    <w:jc w:val="center"/>
                  </w:pPr>
                </w:p>
              </w:tc>
              <w:tc>
                <w:tcPr>
                  <w:tcW w:w="778" w:type="dxa"/>
                </w:tcPr>
                <w:p w14:paraId="5D0E5005" w14:textId="77777777" w:rsidR="00B24BA3" w:rsidRPr="00247B11" w:rsidRDefault="00B24BA3" w:rsidP="00B24BA3">
                  <w:pPr>
                    <w:jc w:val="center"/>
                  </w:pPr>
                </w:p>
              </w:tc>
              <w:tc>
                <w:tcPr>
                  <w:tcW w:w="1079" w:type="dxa"/>
                </w:tcPr>
                <w:p w14:paraId="0920A563" w14:textId="77777777" w:rsidR="00B24BA3" w:rsidRPr="00247B11" w:rsidRDefault="00B24BA3" w:rsidP="00B24BA3">
                  <w:pPr>
                    <w:jc w:val="center"/>
                  </w:pPr>
                </w:p>
              </w:tc>
            </w:tr>
            <w:tr w:rsidR="00B24BA3" w:rsidRPr="00EC46EE" w14:paraId="12F26CDF" w14:textId="77777777" w:rsidTr="00B24BA3">
              <w:tc>
                <w:tcPr>
                  <w:tcW w:w="1471" w:type="dxa"/>
                  <w:shd w:val="clear" w:color="auto" w:fill="F2F2F2" w:themeFill="background1" w:themeFillShade="F2"/>
                </w:tcPr>
                <w:p w14:paraId="6C653603" w14:textId="77777777" w:rsidR="00B24BA3" w:rsidRPr="00247B11" w:rsidRDefault="00B24BA3" w:rsidP="00B24BA3">
                  <w:pPr>
                    <w:rPr>
                      <w:b/>
                    </w:rPr>
                  </w:pPr>
                  <w:r w:rsidRPr="00247B11">
                    <w:rPr>
                      <w:b/>
                    </w:rPr>
                    <w:t xml:space="preserve">Year 5 </w:t>
                  </w:r>
                </w:p>
                <w:p w14:paraId="01D5F054" w14:textId="77777777" w:rsidR="00B24BA3" w:rsidRPr="00247B11" w:rsidRDefault="00B24BA3" w:rsidP="00B24BA3">
                  <w:pPr>
                    <w:rPr>
                      <w:b/>
                    </w:rPr>
                  </w:pPr>
                  <w:r w:rsidRPr="00247B11">
                    <w:rPr>
                      <w:b/>
                    </w:rPr>
                    <w:t xml:space="preserve">No SEN </w:t>
                  </w:r>
                </w:p>
              </w:tc>
              <w:tc>
                <w:tcPr>
                  <w:tcW w:w="1445" w:type="dxa"/>
                </w:tcPr>
                <w:p w14:paraId="077174E6" w14:textId="77777777" w:rsidR="00B24BA3" w:rsidRPr="00247B11" w:rsidRDefault="00B24BA3" w:rsidP="00B24BA3">
                  <w:pPr>
                    <w:jc w:val="center"/>
                  </w:pPr>
                  <w:r>
                    <w:t>71.43%</w:t>
                  </w:r>
                </w:p>
              </w:tc>
              <w:tc>
                <w:tcPr>
                  <w:tcW w:w="873" w:type="dxa"/>
                </w:tcPr>
                <w:p w14:paraId="269E5FBE" w14:textId="77777777" w:rsidR="00B24BA3" w:rsidRPr="00247B11" w:rsidRDefault="00B24BA3" w:rsidP="00B24BA3">
                  <w:pPr>
                    <w:jc w:val="center"/>
                  </w:pPr>
                  <w:r>
                    <w:t>85.71%</w:t>
                  </w:r>
                </w:p>
              </w:tc>
              <w:tc>
                <w:tcPr>
                  <w:tcW w:w="1079" w:type="dxa"/>
                </w:tcPr>
                <w:p w14:paraId="24CBD1BC" w14:textId="77777777" w:rsidR="00B24BA3" w:rsidRPr="00247B11" w:rsidRDefault="00B24BA3" w:rsidP="00B24BA3">
                  <w:pPr>
                    <w:jc w:val="center"/>
                  </w:pPr>
                  <w:r>
                    <w:t>-14.28</w:t>
                  </w:r>
                </w:p>
              </w:tc>
              <w:tc>
                <w:tcPr>
                  <w:tcW w:w="1445" w:type="dxa"/>
                </w:tcPr>
                <w:p w14:paraId="3A39DC19" w14:textId="77777777" w:rsidR="00B24BA3" w:rsidRPr="00247B11" w:rsidRDefault="00B24BA3" w:rsidP="00B24BA3">
                  <w:pPr>
                    <w:jc w:val="center"/>
                  </w:pPr>
                </w:p>
              </w:tc>
              <w:tc>
                <w:tcPr>
                  <w:tcW w:w="778" w:type="dxa"/>
                </w:tcPr>
                <w:p w14:paraId="58BD6F27" w14:textId="77777777" w:rsidR="00B24BA3" w:rsidRPr="00247B11" w:rsidRDefault="00B24BA3" w:rsidP="00B24BA3">
                  <w:pPr>
                    <w:jc w:val="center"/>
                  </w:pPr>
                </w:p>
              </w:tc>
              <w:tc>
                <w:tcPr>
                  <w:tcW w:w="1079" w:type="dxa"/>
                </w:tcPr>
                <w:p w14:paraId="765E1903" w14:textId="77777777" w:rsidR="00B24BA3" w:rsidRPr="00247B11" w:rsidRDefault="00B24BA3" w:rsidP="00B24BA3">
                  <w:pPr>
                    <w:jc w:val="center"/>
                  </w:pPr>
                </w:p>
              </w:tc>
            </w:tr>
            <w:tr w:rsidR="00B24BA3" w:rsidRPr="00EC46EE" w14:paraId="572A5066" w14:textId="77777777" w:rsidTr="00B24BA3">
              <w:tc>
                <w:tcPr>
                  <w:tcW w:w="1471" w:type="dxa"/>
                  <w:shd w:val="clear" w:color="auto" w:fill="F2F2F2" w:themeFill="background1" w:themeFillShade="F2"/>
                </w:tcPr>
                <w:p w14:paraId="79476653" w14:textId="77777777" w:rsidR="00B24BA3" w:rsidRPr="00247B11" w:rsidRDefault="00B24BA3" w:rsidP="00B24BA3">
                  <w:pPr>
                    <w:rPr>
                      <w:b/>
                    </w:rPr>
                  </w:pPr>
                  <w:r w:rsidRPr="00247B11">
                    <w:rPr>
                      <w:b/>
                    </w:rPr>
                    <w:t>Year 4</w:t>
                  </w:r>
                </w:p>
              </w:tc>
              <w:tc>
                <w:tcPr>
                  <w:tcW w:w="1445" w:type="dxa"/>
                </w:tcPr>
                <w:p w14:paraId="432D6AA6" w14:textId="77777777" w:rsidR="00B24BA3" w:rsidRPr="00247B11" w:rsidRDefault="00B24BA3" w:rsidP="00B24BA3">
                  <w:pPr>
                    <w:jc w:val="center"/>
                  </w:pPr>
                  <w:r>
                    <w:t>45.28%</w:t>
                  </w:r>
                </w:p>
              </w:tc>
              <w:tc>
                <w:tcPr>
                  <w:tcW w:w="873" w:type="dxa"/>
                </w:tcPr>
                <w:p w14:paraId="40613CBE" w14:textId="77777777" w:rsidR="00B24BA3" w:rsidRPr="00247B11" w:rsidRDefault="00B24BA3" w:rsidP="00B24BA3">
                  <w:pPr>
                    <w:jc w:val="center"/>
                  </w:pPr>
                  <w:r>
                    <w:t>65%</w:t>
                  </w:r>
                </w:p>
              </w:tc>
              <w:tc>
                <w:tcPr>
                  <w:tcW w:w="1079" w:type="dxa"/>
                </w:tcPr>
                <w:p w14:paraId="6D642814" w14:textId="77777777" w:rsidR="00B24BA3" w:rsidRPr="00247B11" w:rsidRDefault="00B24BA3" w:rsidP="00B24BA3">
                  <w:pPr>
                    <w:jc w:val="center"/>
                  </w:pPr>
                  <w:r>
                    <w:t>-19.72</w:t>
                  </w:r>
                </w:p>
              </w:tc>
              <w:tc>
                <w:tcPr>
                  <w:tcW w:w="1445" w:type="dxa"/>
                </w:tcPr>
                <w:p w14:paraId="3662660D" w14:textId="77777777" w:rsidR="00B24BA3" w:rsidRPr="00247B11" w:rsidRDefault="00B24BA3" w:rsidP="00B24BA3">
                  <w:pPr>
                    <w:jc w:val="center"/>
                  </w:pPr>
                </w:p>
              </w:tc>
              <w:tc>
                <w:tcPr>
                  <w:tcW w:w="778" w:type="dxa"/>
                </w:tcPr>
                <w:p w14:paraId="77F1D204" w14:textId="77777777" w:rsidR="00B24BA3" w:rsidRPr="00247B11" w:rsidRDefault="00B24BA3" w:rsidP="00B24BA3">
                  <w:pPr>
                    <w:jc w:val="center"/>
                  </w:pPr>
                </w:p>
              </w:tc>
              <w:tc>
                <w:tcPr>
                  <w:tcW w:w="1079" w:type="dxa"/>
                </w:tcPr>
                <w:p w14:paraId="1312E6BB" w14:textId="77777777" w:rsidR="00B24BA3" w:rsidRPr="00247B11" w:rsidRDefault="00B24BA3" w:rsidP="00B24BA3">
                  <w:pPr>
                    <w:jc w:val="center"/>
                  </w:pPr>
                </w:p>
              </w:tc>
            </w:tr>
            <w:tr w:rsidR="00B24BA3" w:rsidRPr="00EC46EE" w14:paraId="1B56AA6E" w14:textId="77777777" w:rsidTr="00B24BA3">
              <w:tc>
                <w:tcPr>
                  <w:tcW w:w="1471" w:type="dxa"/>
                  <w:shd w:val="clear" w:color="auto" w:fill="F2F2F2" w:themeFill="background1" w:themeFillShade="F2"/>
                </w:tcPr>
                <w:p w14:paraId="0D5B494D" w14:textId="77777777" w:rsidR="00B24BA3" w:rsidRPr="00247B11" w:rsidRDefault="00B24BA3" w:rsidP="00B24BA3">
                  <w:pPr>
                    <w:rPr>
                      <w:b/>
                    </w:rPr>
                  </w:pPr>
                  <w:r w:rsidRPr="00247B11">
                    <w:rPr>
                      <w:b/>
                    </w:rPr>
                    <w:t xml:space="preserve">Year 4 </w:t>
                  </w:r>
                </w:p>
                <w:p w14:paraId="0217C633" w14:textId="77777777" w:rsidR="00B24BA3" w:rsidRPr="00247B11" w:rsidRDefault="00B24BA3" w:rsidP="00B24BA3">
                  <w:pPr>
                    <w:rPr>
                      <w:b/>
                    </w:rPr>
                  </w:pPr>
                  <w:r w:rsidRPr="00247B11">
                    <w:rPr>
                      <w:b/>
                    </w:rPr>
                    <w:t xml:space="preserve">No SEN </w:t>
                  </w:r>
                </w:p>
              </w:tc>
              <w:tc>
                <w:tcPr>
                  <w:tcW w:w="1445" w:type="dxa"/>
                </w:tcPr>
                <w:p w14:paraId="651B40FB" w14:textId="77777777" w:rsidR="00B24BA3" w:rsidRPr="00247B11" w:rsidRDefault="00B24BA3" w:rsidP="00B24BA3">
                  <w:pPr>
                    <w:jc w:val="center"/>
                  </w:pPr>
                  <w:r>
                    <w:t>60%</w:t>
                  </w:r>
                </w:p>
              </w:tc>
              <w:tc>
                <w:tcPr>
                  <w:tcW w:w="873" w:type="dxa"/>
                </w:tcPr>
                <w:p w14:paraId="6198CEB3" w14:textId="77777777" w:rsidR="00B24BA3" w:rsidRPr="00247B11" w:rsidRDefault="00B24BA3" w:rsidP="00B24BA3">
                  <w:pPr>
                    <w:jc w:val="center"/>
                  </w:pPr>
                  <w:r>
                    <w:t>73.53%</w:t>
                  </w:r>
                </w:p>
              </w:tc>
              <w:tc>
                <w:tcPr>
                  <w:tcW w:w="1079" w:type="dxa"/>
                </w:tcPr>
                <w:p w14:paraId="3E3EA0FD" w14:textId="77777777" w:rsidR="00B24BA3" w:rsidRPr="00247B11" w:rsidRDefault="00B24BA3" w:rsidP="00B24BA3">
                  <w:pPr>
                    <w:jc w:val="center"/>
                  </w:pPr>
                  <w:r>
                    <w:t>-13.53</w:t>
                  </w:r>
                </w:p>
              </w:tc>
              <w:tc>
                <w:tcPr>
                  <w:tcW w:w="1445" w:type="dxa"/>
                </w:tcPr>
                <w:p w14:paraId="03B2DC56" w14:textId="77777777" w:rsidR="00B24BA3" w:rsidRPr="00247B11" w:rsidRDefault="00B24BA3" w:rsidP="00B24BA3">
                  <w:pPr>
                    <w:jc w:val="center"/>
                  </w:pPr>
                </w:p>
              </w:tc>
              <w:tc>
                <w:tcPr>
                  <w:tcW w:w="778" w:type="dxa"/>
                </w:tcPr>
                <w:p w14:paraId="7FBB7B39" w14:textId="77777777" w:rsidR="00B24BA3" w:rsidRPr="00247B11" w:rsidRDefault="00B24BA3" w:rsidP="00B24BA3">
                  <w:pPr>
                    <w:jc w:val="center"/>
                  </w:pPr>
                </w:p>
              </w:tc>
              <w:tc>
                <w:tcPr>
                  <w:tcW w:w="1079" w:type="dxa"/>
                </w:tcPr>
                <w:p w14:paraId="56732B72" w14:textId="77777777" w:rsidR="00B24BA3" w:rsidRPr="00247B11" w:rsidRDefault="00B24BA3" w:rsidP="00B24BA3">
                  <w:pPr>
                    <w:jc w:val="center"/>
                  </w:pPr>
                </w:p>
              </w:tc>
            </w:tr>
            <w:tr w:rsidR="00B24BA3" w:rsidRPr="00EC46EE" w14:paraId="46FE0F95" w14:textId="77777777" w:rsidTr="00B24BA3">
              <w:tc>
                <w:tcPr>
                  <w:tcW w:w="1471" w:type="dxa"/>
                  <w:shd w:val="clear" w:color="auto" w:fill="F2F2F2" w:themeFill="background1" w:themeFillShade="F2"/>
                </w:tcPr>
                <w:p w14:paraId="66D4F4A8" w14:textId="77777777" w:rsidR="00B24BA3" w:rsidRPr="00247B11" w:rsidRDefault="00B24BA3" w:rsidP="00B24BA3">
                  <w:pPr>
                    <w:rPr>
                      <w:b/>
                    </w:rPr>
                  </w:pPr>
                  <w:r w:rsidRPr="00247B11">
                    <w:rPr>
                      <w:b/>
                    </w:rPr>
                    <w:t>Year 3</w:t>
                  </w:r>
                </w:p>
              </w:tc>
              <w:tc>
                <w:tcPr>
                  <w:tcW w:w="1445" w:type="dxa"/>
                </w:tcPr>
                <w:p w14:paraId="12BAC1CD" w14:textId="77777777" w:rsidR="00B24BA3" w:rsidRPr="00247B11" w:rsidRDefault="00B24BA3" w:rsidP="00B24BA3">
                  <w:pPr>
                    <w:jc w:val="center"/>
                  </w:pPr>
                  <w:r>
                    <w:t>40%</w:t>
                  </w:r>
                </w:p>
              </w:tc>
              <w:tc>
                <w:tcPr>
                  <w:tcW w:w="873" w:type="dxa"/>
                </w:tcPr>
                <w:p w14:paraId="21A9971D" w14:textId="77777777" w:rsidR="00B24BA3" w:rsidRPr="00247B11" w:rsidRDefault="00B24BA3" w:rsidP="00B24BA3">
                  <w:pPr>
                    <w:jc w:val="center"/>
                  </w:pPr>
                  <w:r>
                    <w:t>60.42%</w:t>
                  </w:r>
                </w:p>
              </w:tc>
              <w:tc>
                <w:tcPr>
                  <w:tcW w:w="1079" w:type="dxa"/>
                </w:tcPr>
                <w:p w14:paraId="0216EB83" w14:textId="77777777" w:rsidR="00B24BA3" w:rsidRPr="00247B11" w:rsidRDefault="00B24BA3" w:rsidP="00B24BA3">
                  <w:pPr>
                    <w:jc w:val="center"/>
                  </w:pPr>
                  <w:r>
                    <w:t>-20.42</w:t>
                  </w:r>
                </w:p>
              </w:tc>
              <w:tc>
                <w:tcPr>
                  <w:tcW w:w="1445" w:type="dxa"/>
                </w:tcPr>
                <w:p w14:paraId="4455A801" w14:textId="77777777" w:rsidR="00B24BA3" w:rsidRPr="00247B11" w:rsidRDefault="00B24BA3" w:rsidP="00B24BA3">
                  <w:pPr>
                    <w:jc w:val="center"/>
                  </w:pPr>
                </w:p>
              </w:tc>
              <w:tc>
                <w:tcPr>
                  <w:tcW w:w="778" w:type="dxa"/>
                </w:tcPr>
                <w:p w14:paraId="251AF6AC" w14:textId="77777777" w:rsidR="00B24BA3" w:rsidRPr="00247B11" w:rsidRDefault="00B24BA3" w:rsidP="00B24BA3">
                  <w:pPr>
                    <w:jc w:val="center"/>
                  </w:pPr>
                </w:p>
              </w:tc>
              <w:tc>
                <w:tcPr>
                  <w:tcW w:w="1079" w:type="dxa"/>
                </w:tcPr>
                <w:p w14:paraId="1675F9D5" w14:textId="77777777" w:rsidR="00B24BA3" w:rsidRPr="00247B11" w:rsidRDefault="00B24BA3" w:rsidP="00B24BA3">
                  <w:pPr>
                    <w:jc w:val="center"/>
                  </w:pPr>
                </w:p>
              </w:tc>
            </w:tr>
            <w:tr w:rsidR="00B24BA3" w:rsidRPr="008E3F46" w14:paraId="39B36762" w14:textId="77777777" w:rsidTr="00B24BA3">
              <w:tc>
                <w:tcPr>
                  <w:tcW w:w="1471" w:type="dxa"/>
                  <w:shd w:val="clear" w:color="auto" w:fill="F2F2F2" w:themeFill="background1" w:themeFillShade="F2"/>
                </w:tcPr>
                <w:p w14:paraId="1BA8B19B" w14:textId="77777777" w:rsidR="00B24BA3" w:rsidRPr="008E3F46" w:rsidRDefault="00B24BA3" w:rsidP="00B24BA3">
                  <w:pPr>
                    <w:rPr>
                      <w:b/>
                    </w:rPr>
                  </w:pPr>
                  <w:r w:rsidRPr="008E3F46">
                    <w:rPr>
                      <w:b/>
                    </w:rPr>
                    <w:t xml:space="preserve">Year 3 </w:t>
                  </w:r>
                </w:p>
                <w:p w14:paraId="31B23F0E" w14:textId="77777777" w:rsidR="00B24BA3" w:rsidRPr="008E3F46" w:rsidRDefault="00B24BA3" w:rsidP="00B24BA3">
                  <w:pPr>
                    <w:rPr>
                      <w:b/>
                    </w:rPr>
                  </w:pPr>
                  <w:r w:rsidRPr="008E3F46">
                    <w:rPr>
                      <w:b/>
                    </w:rPr>
                    <w:lastRenderedPageBreak/>
                    <w:t xml:space="preserve">No SEN </w:t>
                  </w:r>
                </w:p>
              </w:tc>
              <w:tc>
                <w:tcPr>
                  <w:tcW w:w="1445" w:type="dxa"/>
                </w:tcPr>
                <w:p w14:paraId="1E29DB52" w14:textId="77777777" w:rsidR="00B24BA3" w:rsidRPr="008E3F46" w:rsidRDefault="00B24BA3" w:rsidP="00B24BA3">
                  <w:pPr>
                    <w:spacing w:line="360" w:lineRule="auto"/>
                    <w:jc w:val="center"/>
                  </w:pPr>
                  <w:r w:rsidRPr="008E3F46">
                    <w:lastRenderedPageBreak/>
                    <w:t>64%</w:t>
                  </w:r>
                </w:p>
              </w:tc>
              <w:tc>
                <w:tcPr>
                  <w:tcW w:w="873" w:type="dxa"/>
                </w:tcPr>
                <w:p w14:paraId="46CFAD75" w14:textId="77777777" w:rsidR="00B24BA3" w:rsidRPr="008E3F46" w:rsidRDefault="00B24BA3" w:rsidP="00B24BA3">
                  <w:pPr>
                    <w:jc w:val="center"/>
                  </w:pPr>
                  <w:r w:rsidRPr="008E3F46">
                    <w:t>68.29%</w:t>
                  </w:r>
                </w:p>
              </w:tc>
              <w:tc>
                <w:tcPr>
                  <w:tcW w:w="1079" w:type="dxa"/>
                </w:tcPr>
                <w:p w14:paraId="283E4516" w14:textId="77777777" w:rsidR="00B24BA3" w:rsidRPr="008E3F46" w:rsidRDefault="00B24BA3" w:rsidP="00B24BA3">
                  <w:pPr>
                    <w:jc w:val="center"/>
                  </w:pPr>
                  <w:r w:rsidRPr="008E3F46">
                    <w:t>-4.29</w:t>
                  </w:r>
                </w:p>
              </w:tc>
              <w:tc>
                <w:tcPr>
                  <w:tcW w:w="1445" w:type="dxa"/>
                </w:tcPr>
                <w:p w14:paraId="77ED1FD3" w14:textId="77777777" w:rsidR="00B24BA3" w:rsidRPr="008E3F46" w:rsidRDefault="00B24BA3" w:rsidP="00B24BA3">
                  <w:pPr>
                    <w:jc w:val="center"/>
                  </w:pPr>
                </w:p>
              </w:tc>
              <w:tc>
                <w:tcPr>
                  <w:tcW w:w="778" w:type="dxa"/>
                </w:tcPr>
                <w:p w14:paraId="5EEAE2C1" w14:textId="77777777" w:rsidR="00B24BA3" w:rsidRPr="008E3F46" w:rsidRDefault="00B24BA3" w:rsidP="00B24BA3">
                  <w:pPr>
                    <w:jc w:val="center"/>
                  </w:pPr>
                </w:p>
              </w:tc>
              <w:tc>
                <w:tcPr>
                  <w:tcW w:w="1079" w:type="dxa"/>
                </w:tcPr>
                <w:p w14:paraId="7409DEC0" w14:textId="77777777" w:rsidR="00B24BA3" w:rsidRPr="008E3F46" w:rsidRDefault="00B24BA3" w:rsidP="00B24BA3">
                  <w:pPr>
                    <w:jc w:val="center"/>
                  </w:pPr>
                </w:p>
              </w:tc>
            </w:tr>
          </w:tbl>
          <w:p w14:paraId="445BF752" w14:textId="77777777" w:rsidR="008747E1" w:rsidRDefault="008747E1" w:rsidP="008747E1">
            <w:pPr>
              <w:suppressAutoHyphens w:val="0"/>
              <w:autoSpaceDN/>
              <w:spacing w:after="160" w:line="259" w:lineRule="auto"/>
              <w:ind w:left="720" w:hanging="360"/>
              <w:rPr>
                <w:b/>
              </w:rPr>
            </w:pPr>
            <w:r>
              <w:rPr>
                <w:b/>
              </w:rPr>
              <w:t xml:space="preserve">      </w:t>
            </w:r>
          </w:p>
          <w:p w14:paraId="3291E95A" w14:textId="5672E515" w:rsidR="00B24BA3" w:rsidRPr="008747E1" w:rsidRDefault="008747E1" w:rsidP="008747E1">
            <w:pPr>
              <w:suppressAutoHyphens w:val="0"/>
              <w:autoSpaceDN/>
              <w:spacing w:after="160" w:line="259" w:lineRule="auto"/>
              <w:ind w:left="720" w:hanging="360"/>
            </w:pPr>
            <w:r>
              <w:rPr>
                <w:b/>
              </w:rPr>
              <w:t xml:space="preserve">     </w:t>
            </w:r>
            <w:r w:rsidRPr="008747E1">
              <w:t xml:space="preserve">Y6: </w:t>
            </w:r>
            <w:r w:rsidR="00B24BA3" w:rsidRPr="008747E1">
              <w:t xml:space="preserve">At ARE, there is a 2.5% difference between the attainment of WEJS disadvantaged children and the National Average for disadvantaged children </w:t>
            </w:r>
          </w:p>
          <w:p w14:paraId="2192F381" w14:textId="445EA095" w:rsidR="00B24BA3" w:rsidRPr="00886B93" w:rsidRDefault="008747E1" w:rsidP="008747E1">
            <w:pPr>
              <w:suppressAutoHyphens w:val="0"/>
              <w:autoSpaceDN/>
              <w:spacing w:after="160" w:line="259" w:lineRule="auto"/>
              <w:ind w:left="720" w:hanging="360"/>
            </w:pPr>
            <w:r w:rsidRPr="008747E1">
              <w:t xml:space="preserve">      </w:t>
            </w:r>
            <w:r w:rsidR="00B24BA3" w:rsidRPr="008747E1">
              <w:t>At the Higher Standard, the WEJS average disadvantaged children is broadly in line with National Average for Disadvantaged children</w:t>
            </w:r>
            <w:r>
              <w:t>.</w:t>
            </w:r>
          </w:p>
        </w:tc>
      </w:tr>
    </w:tbl>
    <w:p w14:paraId="4CBB70F5" w14:textId="7D43425A" w:rsidR="00A739AA" w:rsidRDefault="00A739AA" w:rsidP="00D703F8">
      <w:pPr>
        <w:spacing w:after="120"/>
        <w:rPr>
          <w:b/>
          <w:bCs/>
          <w:color w:val="104F75"/>
          <w:sz w:val="28"/>
          <w:szCs w:val="28"/>
        </w:rPr>
      </w:pPr>
    </w:p>
    <w:p w14:paraId="01AA5E8F" w14:textId="77777777" w:rsidR="00B972EB" w:rsidRDefault="00B972EB" w:rsidP="00D703F8">
      <w:pPr>
        <w:spacing w:after="120"/>
        <w:rPr>
          <w:b/>
          <w:bCs/>
          <w:color w:val="104F75"/>
          <w:sz w:val="28"/>
          <w:szCs w:val="28"/>
        </w:rPr>
      </w:pPr>
    </w:p>
    <w:tbl>
      <w:tblPr>
        <w:tblpPr w:leftFromText="181" w:rightFromText="181" w:vertAnchor="page" w:horzAnchor="margin" w:tblpY="1"/>
        <w:tblOverlap w:val="never"/>
        <w:tblW w:w="9486" w:type="dxa"/>
        <w:tblLayout w:type="fixed"/>
        <w:tblCellMar>
          <w:left w:w="10" w:type="dxa"/>
          <w:right w:w="10" w:type="dxa"/>
        </w:tblCellMar>
        <w:tblLook w:val="04A0" w:firstRow="1" w:lastRow="0" w:firstColumn="1" w:lastColumn="0" w:noHBand="0" w:noVBand="1"/>
      </w:tblPr>
      <w:tblGrid>
        <w:gridCol w:w="9486"/>
      </w:tblGrid>
      <w:tr w:rsidR="00F337E6" w14:paraId="3975A0A8" w14:textId="77777777" w:rsidTr="008747E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0AE4ABB" w14:textId="01C6A4DE" w:rsidR="00F337E6" w:rsidRDefault="00F337E6" w:rsidP="008747E1">
            <w:pPr>
              <w:pStyle w:val="TableHeader"/>
              <w:jc w:val="left"/>
            </w:pPr>
            <w:r w:rsidRPr="0048113A">
              <w:rPr>
                <w:color w:val="auto"/>
                <w:sz w:val="28"/>
                <w:szCs w:val="28"/>
              </w:rPr>
              <w:lastRenderedPageBreak/>
              <w:t>Wider strategies</w:t>
            </w:r>
            <w:r w:rsidRPr="0048113A">
              <w:rPr>
                <w:color w:val="auto"/>
              </w:rPr>
              <w:t xml:space="preserve"> </w:t>
            </w:r>
          </w:p>
        </w:tc>
      </w:tr>
      <w:tr w:rsidR="00F337E6" w:rsidRPr="00380251" w14:paraId="6E801720" w14:textId="77777777" w:rsidTr="008747E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0A113C3" w14:textId="77777777" w:rsidR="00F337E6" w:rsidRPr="00A739AA" w:rsidRDefault="00F337E6" w:rsidP="008747E1">
            <w:pPr>
              <w:pStyle w:val="TableRowCentered"/>
              <w:jc w:val="left"/>
              <w:rPr>
                <w:b/>
                <w:color w:val="auto"/>
                <w:sz w:val="22"/>
              </w:rPr>
            </w:pPr>
            <w:r w:rsidRPr="00A739AA">
              <w:rPr>
                <w:b/>
                <w:iCs/>
                <w:color w:val="auto"/>
                <w:szCs w:val="28"/>
                <w:lang w:val="en-US"/>
              </w:rPr>
              <w:t xml:space="preserve">Designated administrator to manage and monitor attendance, working with designated senior leader and senior learning mentor to deliver Early Help </w:t>
            </w:r>
          </w:p>
        </w:tc>
      </w:tr>
      <w:tr w:rsidR="00F337E6" w:rsidRPr="00380251" w14:paraId="37F1F9C4" w14:textId="77777777" w:rsidTr="008747E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070F" w14:textId="77777777" w:rsidR="00F337E6" w:rsidRPr="008747E1" w:rsidRDefault="00F337E6" w:rsidP="008747E1">
            <w:pPr>
              <w:pStyle w:val="TableRowCentered"/>
              <w:jc w:val="left"/>
              <w:rPr>
                <w:b/>
                <w:color w:val="auto"/>
                <w:sz w:val="22"/>
                <w:szCs w:val="22"/>
              </w:rPr>
            </w:pPr>
            <w:r w:rsidRPr="008747E1">
              <w:rPr>
                <w:b/>
                <w:color w:val="auto"/>
                <w:sz w:val="22"/>
                <w:szCs w:val="22"/>
              </w:rPr>
              <w:t xml:space="preserve">Evidence of Impact: </w:t>
            </w:r>
          </w:p>
          <w:p w14:paraId="0C8F9B9A" w14:textId="3452CEE0" w:rsidR="00F337E6" w:rsidRPr="008747E1" w:rsidRDefault="00F337E6" w:rsidP="008747E1">
            <w:pPr>
              <w:pStyle w:val="TableRowCentered"/>
              <w:jc w:val="left"/>
              <w:rPr>
                <w:color w:val="auto"/>
                <w:sz w:val="22"/>
                <w:szCs w:val="22"/>
              </w:rPr>
            </w:pPr>
            <w:r w:rsidRPr="008747E1">
              <w:rPr>
                <w:color w:val="auto"/>
                <w:sz w:val="22"/>
                <w:szCs w:val="22"/>
              </w:rPr>
              <w:t>Attendance 202</w:t>
            </w:r>
            <w:r w:rsidR="008747E1">
              <w:rPr>
                <w:color w:val="auto"/>
                <w:sz w:val="22"/>
                <w:szCs w:val="22"/>
              </w:rPr>
              <w:t>3</w:t>
            </w:r>
            <w:r w:rsidRPr="008747E1">
              <w:rPr>
                <w:color w:val="auto"/>
                <w:sz w:val="22"/>
                <w:szCs w:val="22"/>
              </w:rPr>
              <w:t xml:space="preserve"> – 202</w:t>
            </w:r>
            <w:r w:rsidR="008747E1">
              <w:rPr>
                <w:color w:val="auto"/>
                <w:sz w:val="22"/>
                <w:szCs w:val="22"/>
              </w:rPr>
              <w:t>4</w:t>
            </w:r>
            <w:r w:rsidRPr="008747E1">
              <w:rPr>
                <w:color w:val="auto"/>
                <w:sz w:val="22"/>
                <w:szCs w:val="22"/>
              </w:rPr>
              <w:t>:                 Disadvantaged Pupils: 9</w:t>
            </w:r>
            <w:r w:rsidR="008747E1">
              <w:rPr>
                <w:color w:val="auto"/>
                <w:sz w:val="22"/>
                <w:szCs w:val="22"/>
              </w:rPr>
              <w:t>2.89</w:t>
            </w:r>
            <w:r w:rsidRPr="008747E1">
              <w:rPr>
                <w:color w:val="auto"/>
                <w:sz w:val="22"/>
                <w:szCs w:val="22"/>
              </w:rPr>
              <w:t xml:space="preserve">% </w:t>
            </w:r>
          </w:p>
          <w:p w14:paraId="3C1DF774" w14:textId="4C3DA357" w:rsidR="00F337E6" w:rsidRPr="008747E1" w:rsidRDefault="00F337E6" w:rsidP="008747E1">
            <w:pPr>
              <w:pStyle w:val="TableRowCentered"/>
              <w:jc w:val="left"/>
              <w:rPr>
                <w:color w:val="auto"/>
                <w:sz w:val="22"/>
                <w:szCs w:val="22"/>
              </w:rPr>
            </w:pPr>
            <w:r w:rsidRPr="008747E1">
              <w:rPr>
                <w:color w:val="auto"/>
                <w:sz w:val="22"/>
                <w:szCs w:val="22"/>
              </w:rPr>
              <w:t xml:space="preserve">                                                         Whole school: 9</w:t>
            </w:r>
            <w:r w:rsidR="008747E1">
              <w:rPr>
                <w:color w:val="auto"/>
                <w:sz w:val="22"/>
                <w:szCs w:val="22"/>
              </w:rPr>
              <w:t>4.62</w:t>
            </w:r>
            <w:r w:rsidRPr="008747E1">
              <w:rPr>
                <w:color w:val="auto"/>
                <w:sz w:val="22"/>
                <w:szCs w:val="22"/>
              </w:rPr>
              <w:t>%</w:t>
            </w:r>
            <w:r w:rsidR="5222F50C" w:rsidRPr="008747E1">
              <w:rPr>
                <w:color w:val="auto"/>
                <w:sz w:val="22"/>
                <w:szCs w:val="22"/>
              </w:rPr>
              <w:t xml:space="preserve"> </w:t>
            </w:r>
          </w:p>
          <w:p w14:paraId="4C3531A8" w14:textId="493249CD" w:rsidR="00F337E6" w:rsidRPr="008747E1" w:rsidRDefault="00F337E6" w:rsidP="008747E1">
            <w:pPr>
              <w:pStyle w:val="TableRowCentered"/>
              <w:jc w:val="left"/>
              <w:rPr>
                <w:color w:val="auto"/>
                <w:sz w:val="22"/>
                <w:szCs w:val="22"/>
              </w:rPr>
            </w:pPr>
            <w:r w:rsidRPr="008747E1">
              <w:rPr>
                <w:color w:val="auto"/>
                <w:sz w:val="22"/>
                <w:szCs w:val="22"/>
              </w:rPr>
              <w:t>Persistent Absence 202</w:t>
            </w:r>
            <w:r w:rsidR="008747E1">
              <w:rPr>
                <w:color w:val="auto"/>
                <w:sz w:val="22"/>
                <w:szCs w:val="22"/>
              </w:rPr>
              <w:t>3</w:t>
            </w:r>
            <w:r w:rsidRPr="008747E1">
              <w:rPr>
                <w:color w:val="auto"/>
                <w:sz w:val="22"/>
                <w:szCs w:val="22"/>
              </w:rPr>
              <w:t xml:space="preserve"> – 202</w:t>
            </w:r>
            <w:r w:rsidR="008747E1">
              <w:rPr>
                <w:color w:val="auto"/>
                <w:sz w:val="22"/>
                <w:szCs w:val="22"/>
              </w:rPr>
              <w:t>4</w:t>
            </w:r>
            <w:r w:rsidRPr="008747E1">
              <w:rPr>
                <w:color w:val="auto"/>
                <w:sz w:val="22"/>
                <w:szCs w:val="22"/>
              </w:rPr>
              <w:t xml:space="preserve">:    Disadvantaged Pupils: </w:t>
            </w:r>
            <w:r w:rsidR="00800839" w:rsidRPr="00800839">
              <w:rPr>
                <w:color w:val="auto"/>
                <w:sz w:val="22"/>
                <w:szCs w:val="22"/>
              </w:rPr>
              <w:t>9.8</w:t>
            </w:r>
            <w:r w:rsidRPr="00800839">
              <w:rPr>
                <w:color w:val="auto"/>
                <w:sz w:val="22"/>
                <w:szCs w:val="22"/>
              </w:rPr>
              <w:t>%</w:t>
            </w:r>
            <w:r w:rsidRPr="008747E1">
              <w:rPr>
                <w:color w:val="auto"/>
                <w:sz w:val="22"/>
                <w:szCs w:val="22"/>
              </w:rPr>
              <w:t xml:space="preserve"> </w:t>
            </w:r>
          </w:p>
          <w:p w14:paraId="2FBEE99A" w14:textId="208672F2" w:rsidR="00F337E6" w:rsidRPr="008747E1" w:rsidRDefault="00F337E6" w:rsidP="008747E1">
            <w:pPr>
              <w:pStyle w:val="TableRowCentered"/>
              <w:jc w:val="left"/>
              <w:rPr>
                <w:color w:val="auto"/>
                <w:sz w:val="22"/>
                <w:szCs w:val="22"/>
              </w:rPr>
            </w:pPr>
            <w:r w:rsidRPr="008747E1">
              <w:rPr>
                <w:color w:val="auto"/>
                <w:sz w:val="22"/>
                <w:szCs w:val="22"/>
              </w:rPr>
              <w:t xml:space="preserve">                                                         Whole school</w:t>
            </w:r>
            <w:r w:rsidRPr="00800839">
              <w:rPr>
                <w:color w:val="auto"/>
                <w:sz w:val="22"/>
                <w:szCs w:val="22"/>
              </w:rPr>
              <w:t xml:space="preserve">: </w:t>
            </w:r>
            <w:r w:rsidR="00800839">
              <w:rPr>
                <w:color w:val="auto"/>
                <w:sz w:val="22"/>
                <w:szCs w:val="22"/>
              </w:rPr>
              <w:t>5.7</w:t>
            </w:r>
            <w:r w:rsidRPr="00800839">
              <w:rPr>
                <w:color w:val="auto"/>
                <w:sz w:val="22"/>
                <w:szCs w:val="22"/>
              </w:rPr>
              <w:t>%</w:t>
            </w:r>
          </w:p>
          <w:p w14:paraId="4A147E2E" w14:textId="77777777" w:rsidR="00F337E6" w:rsidRPr="008747E1" w:rsidRDefault="00F337E6" w:rsidP="008747E1">
            <w:pPr>
              <w:pStyle w:val="TableRowCentered"/>
              <w:ind w:left="0"/>
              <w:jc w:val="left"/>
              <w:rPr>
                <w:color w:val="0D0D0D" w:themeColor="text1" w:themeTint="F2"/>
                <w:szCs w:val="24"/>
              </w:rPr>
            </w:pPr>
          </w:p>
          <w:p w14:paraId="0F397E42" w14:textId="792E426E" w:rsidR="00F337E6" w:rsidRDefault="00F337E6" w:rsidP="008747E1">
            <w:pPr>
              <w:pStyle w:val="TableRowCentered"/>
              <w:jc w:val="left"/>
              <w:rPr>
                <w:color w:val="auto"/>
                <w:sz w:val="22"/>
                <w:szCs w:val="22"/>
              </w:rPr>
            </w:pPr>
            <w:r w:rsidRPr="008747E1">
              <w:rPr>
                <w:color w:val="auto"/>
                <w:sz w:val="22"/>
                <w:szCs w:val="22"/>
              </w:rPr>
              <w:t>The work of the attendance administrator has been key to ensuring the attendance of disadvantaged pupils remains high and in line with all pupils. Pupils’ attendance is monitored and tracked thoroughly, and the attendance figures of pupils causing concern is reported to SLT weekly. The attendance officer attends our fortnightly safeguarding meetings with the DSLs and Head teacher. Home visits are conducted with the Pastoral manager for any pupil whose absence is a cause for concern. Parents are invited into school to discuss how school can best support the attendance of their child, often through Early Help.</w:t>
            </w:r>
          </w:p>
          <w:p w14:paraId="2BAD71C2" w14:textId="77777777" w:rsidR="00F337E6" w:rsidRDefault="00F337E6" w:rsidP="008747E1">
            <w:pPr>
              <w:pStyle w:val="TableRowCentered"/>
              <w:jc w:val="left"/>
              <w:rPr>
                <w:color w:val="0D0D0D" w:themeColor="text1" w:themeTint="F2"/>
                <w:szCs w:val="24"/>
              </w:rPr>
            </w:pPr>
          </w:p>
        </w:tc>
      </w:tr>
      <w:tr w:rsidR="00F337E6" w14:paraId="13EAD26F" w14:textId="77777777" w:rsidTr="008747E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907A952" w14:textId="77777777" w:rsidR="00F337E6" w:rsidRPr="00A739AA" w:rsidRDefault="00F337E6" w:rsidP="008747E1">
            <w:pPr>
              <w:suppressAutoHyphens w:val="0"/>
              <w:autoSpaceDN/>
              <w:spacing w:before="60" w:after="60" w:line="240" w:lineRule="auto"/>
              <w:ind w:left="29" w:right="57"/>
              <w:rPr>
                <w:b/>
                <w:iCs/>
                <w:color w:val="auto"/>
                <w:szCs w:val="28"/>
                <w:lang w:val="en-US"/>
              </w:rPr>
            </w:pPr>
            <w:r w:rsidRPr="00A739AA">
              <w:rPr>
                <w:b/>
                <w:iCs/>
                <w:color w:val="auto"/>
                <w:szCs w:val="28"/>
                <w:lang w:val="en-US"/>
              </w:rPr>
              <w:t xml:space="preserve">Pastoral Team to support social and emotional wellbeing of pupils and families, strengthening resilience and readiness to learn. </w:t>
            </w:r>
          </w:p>
          <w:p w14:paraId="15F795D1" w14:textId="77777777" w:rsidR="00F337E6" w:rsidRPr="00A739AA" w:rsidRDefault="00F337E6" w:rsidP="008747E1">
            <w:pPr>
              <w:suppressAutoHyphens w:val="0"/>
              <w:autoSpaceDN/>
              <w:spacing w:before="60" w:after="60" w:line="240" w:lineRule="auto"/>
              <w:ind w:left="29" w:right="57"/>
              <w:rPr>
                <w:b/>
                <w:iCs/>
                <w:color w:val="auto"/>
                <w:szCs w:val="28"/>
                <w:lang w:val="en-US"/>
              </w:rPr>
            </w:pPr>
          </w:p>
          <w:p w14:paraId="563B4366" w14:textId="77777777" w:rsidR="00F337E6" w:rsidRPr="00A739AA" w:rsidRDefault="00F337E6" w:rsidP="008747E1">
            <w:pPr>
              <w:suppressAutoHyphens w:val="0"/>
              <w:autoSpaceDN/>
              <w:spacing w:before="60" w:after="60" w:line="240" w:lineRule="auto"/>
              <w:ind w:left="29" w:right="57"/>
              <w:rPr>
                <w:b/>
                <w:iCs/>
                <w:color w:val="auto"/>
                <w:szCs w:val="28"/>
                <w:lang w:val="en-US"/>
              </w:rPr>
            </w:pPr>
            <w:r w:rsidRPr="00A739AA">
              <w:rPr>
                <w:b/>
                <w:iCs/>
                <w:color w:val="auto"/>
                <w:szCs w:val="28"/>
                <w:lang w:val="en-US"/>
              </w:rPr>
              <w:t>Senior learning mentor HLTA</w:t>
            </w:r>
          </w:p>
          <w:p w14:paraId="6DABFC79" w14:textId="24E2B3A4" w:rsidR="00F337E6" w:rsidRPr="00F337E6" w:rsidRDefault="00F337E6" w:rsidP="008747E1">
            <w:pPr>
              <w:pStyle w:val="TableRowCentered"/>
              <w:jc w:val="left"/>
              <w:rPr>
                <w:color w:val="auto"/>
                <w:sz w:val="22"/>
                <w:szCs w:val="22"/>
              </w:rPr>
            </w:pPr>
            <w:r w:rsidRPr="00A739AA">
              <w:rPr>
                <w:b/>
                <w:iCs/>
                <w:color w:val="auto"/>
                <w:szCs w:val="28"/>
                <w:lang w:val="en-US"/>
              </w:rPr>
              <w:t>2 x Learning mentors Grade 2</w:t>
            </w:r>
          </w:p>
        </w:tc>
      </w:tr>
      <w:tr w:rsidR="00F337E6" w14:paraId="53CBF79F" w14:textId="77777777" w:rsidTr="008747E1">
        <w:trPr>
          <w:trHeight w:val="11085"/>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56761" w14:textId="1AA1626C" w:rsidR="00F337E6" w:rsidRDefault="00F337E6" w:rsidP="008747E1">
            <w:pPr>
              <w:spacing w:line="257" w:lineRule="auto"/>
              <w:rPr>
                <w:rFonts w:eastAsia="Arial" w:cs="Arial"/>
                <w:b/>
                <w:bCs/>
                <w:sz w:val="22"/>
                <w:szCs w:val="22"/>
              </w:rPr>
            </w:pPr>
            <w:r>
              <w:rPr>
                <w:rFonts w:eastAsia="Arial" w:cs="Arial"/>
                <w:b/>
                <w:bCs/>
                <w:sz w:val="22"/>
                <w:szCs w:val="22"/>
              </w:rPr>
              <w:lastRenderedPageBreak/>
              <w:t>Evidence of impact:</w:t>
            </w:r>
          </w:p>
          <w:p w14:paraId="173C301B" w14:textId="024CD794" w:rsidR="00CF0C3D" w:rsidRPr="00CF0C3D" w:rsidRDefault="00CF0C3D" w:rsidP="00CF0C3D">
            <w:pPr>
              <w:pStyle w:val="NormalWeb"/>
              <w:rPr>
                <w:b/>
                <w:color w:val="000000"/>
                <w:sz w:val="27"/>
                <w:szCs w:val="27"/>
              </w:rPr>
            </w:pPr>
            <w:r w:rsidRPr="00CF0C3D">
              <w:rPr>
                <w:b/>
                <w:color w:val="000000"/>
                <w:sz w:val="27"/>
                <w:szCs w:val="27"/>
              </w:rPr>
              <w:t>Early Help Support provided to the school community:</w:t>
            </w:r>
          </w:p>
          <w:p w14:paraId="7B0E3127" w14:textId="58F6E9BC" w:rsidR="00CF0C3D" w:rsidRDefault="00CF0C3D" w:rsidP="00CF0C3D">
            <w:pPr>
              <w:pStyle w:val="NormalWeb"/>
              <w:rPr>
                <w:color w:val="000000"/>
                <w:sz w:val="27"/>
                <w:szCs w:val="27"/>
              </w:rPr>
            </w:pPr>
            <w:r>
              <w:rPr>
                <w:color w:val="000000"/>
                <w:sz w:val="27"/>
                <w:szCs w:val="27"/>
              </w:rPr>
              <w:t>2023-24</w:t>
            </w:r>
          </w:p>
          <w:p w14:paraId="6A80B1F5" w14:textId="2EF6EA95" w:rsidR="00CF0C3D" w:rsidRDefault="00CF0C3D" w:rsidP="00CF0C3D">
            <w:pPr>
              <w:pStyle w:val="NormalWeb"/>
              <w:rPr>
                <w:color w:val="000000"/>
                <w:sz w:val="27"/>
                <w:szCs w:val="27"/>
              </w:rPr>
            </w:pPr>
            <w:r>
              <w:rPr>
                <w:color w:val="000000"/>
                <w:sz w:val="27"/>
                <w:szCs w:val="27"/>
              </w:rPr>
              <w:t>Early Help 11</w:t>
            </w:r>
          </w:p>
          <w:p w14:paraId="6637E988" w14:textId="4ED988B6" w:rsidR="00CF0C3D" w:rsidRDefault="00CF0C3D" w:rsidP="00CF0C3D">
            <w:pPr>
              <w:pStyle w:val="NormalWeb"/>
              <w:rPr>
                <w:color w:val="000000"/>
                <w:sz w:val="27"/>
                <w:szCs w:val="27"/>
              </w:rPr>
            </w:pPr>
            <w:r>
              <w:rPr>
                <w:color w:val="000000"/>
                <w:sz w:val="27"/>
                <w:szCs w:val="27"/>
              </w:rPr>
              <w:t>Family Support 12</w:t>
            </w:r>
          </w:p>
          <w:p w14:paraId="0A06E4F8" w14:textId="72EAEF8C" w:rsidR="00CF0C3D" w:rsidRPr="00CF0C3D" w:rsidRDefault="00CF0C3D" w:rsidP="00CF0C3D">
            <w:pPr>
              <w:pStyle w:val="NormalWeb"/>
              <w:rPr>
                <w:b/>
                <w:color w:val="000000"/>
                <w:sz w:val="27"/>
                <w:szCs w:val="27"/>
              </w:rPr>
            </w:pPr>
            <w:r w:rsidRPr="00CF0C3D">
              <w:rPr>
                <w:b/>
                <w:color w:val="000000"/>
                <w:sz w:val="27"/>
                <w:szCs w:val="27"/>
              </w:rPr>
              <w:t>Pastoral Caseloads</w:t>
            </w:r>
          </w:p>
          <w:p w14:paraId="458ABA69" w14:textId="1E4C5F26" w:rsidR="00CF0C3D" w:rsidRDefault="00CF0C3D" w:rsidP="00CF0C3D">
            <w:pPr>
              <w:pStyle w:val="NormalWeb"/>
              <w:rPr>
                <w:color w:val="000000"/>
                <w:sz w:val="27"/>
                <w:szCs w:val="27"/>
              </w:rPr>
            </w:pPr>
            <w:r>
              <w:rPr>
                <w:color w:val="000000"/>
                <w:sz w:val="27"/>
                <w:szCs w:val="27"/>
              </w:rPr>
              <w:t>Pastoral Manager:</w:t>
            </w:r>
          </w:p>
          <w:p w14:paraId="761E3073" w14:textId="3FDDF4F1" w:rsidR="00CF0C3D" w:rsidRDefault="00CF0C3D" w:rsidP="00CF0C3D">
            <w:pPr>
              <w:pStyle w:val="NormalWeb"/>
              <w:rPr>
                <w:color w:val="000000"/>
                <w:sz w:val="27"/>
                <w:szCs w:val="27"/>
              </w:rPr>
            </w:pPr>
            <w:r>
              <w:rPr>
                <w:color w:val="000000"/>
                <w:sz w:val="27"/>
                <w:szCs w:val="27"/>
              </w:rPr>
              <w:t>Pastoral Manager has been based in Lower School during the mornings to support behaviour for learning across lower school. Additionally, 1-1 support has been provided for a SEND pupil (EHCP in place) between 9-10am to enable teaching of guided reading and phonics. Behaviour support has been provided during PE lessons, twice per week. Admin duties are completed during the morning and mentoring is timetabled for the afternoons.</w:t>
            </w:r>
          </w:p>
          <w:p w14:paraId="7F35919A" w14:textId="39F4B749" w:rsidR="00CF0C3D" w:rsidRDefault="00CF0C3D" w:rsidP="00CF0C3D">
            <w:pPr>
              <w:pStyle w:val="NormalWeb"/>
              <w:rPr>
                <w:color w:val="000000"/>
                <w:sz w:val="27"/>
                <w:szCs w:val="27"/>
              </w:rPr>
            </w:pPr>
            <w:r>
              <w:rPr>
                <w:color w:val="000000"/>
                <w:sz w:val="27"/>
                <w:szCs w:val="27"/>
              </w:rPr>
              <w:t>Learning Mentor:</w:t>
            </w:r>
          </w:p>
          <w:p w14:paraId="451FBB74" w14:textId="16643EB2" w:rsidR="00CF0C3D" w:rsidRDefault="00CF0C3D" w:rsidP="00CF0C3D">
            <w:pPr>
              <w:pStyle w:val="NormalWeb"/>
              <w:rPr>
                <w:color w:val="000000"/>
                <w:sz w:val="27"/>
                <w:szCs w:val="27"/>
              </w:rPr>
            </w:pPr>
            <w:r>
              <w:rPr>
                <w:color w:val="000000"/>
                <w:sz w:val="27"/>
                <w:szCs w:val="27"/>
              </w:rPr>
              <w:t xml:space="preserve">During the morning, 1-1 support has been provided inside and outside the classroom for a Year 4 pupil who struggles with regulation and social situations (EHCP pending). A personalised curriculum has been in place if the pupil is unable to access the classwork. Mentoring is timetabled for the afternoons however, </w:t>
            </w:r>
          </w:p>
          <w:p w14:paraId="6D672A61" w14:textId="1EC5E624" w:rsidR="00CF0C3D" w:rsidRDefault="00CF0C3D" w:rsidP="00CF0C3D">
            <w:pPr>
              <w:pStyle w:val="NormalWeb"/>
              <w:rPr>
                <w:color w:val="000000"/>
                <w:sz w:val="27"/>
                <w:szCs w:val="27"/>
              </w:rPr>
            </w:pPr>
            <w:r>
              <w:rPr>
                <w:color w:val="000000"/>
                <w:sz w:val="27"/>
                <w:szCs w:val="27"/>
              </w:rPr>
              <w:t>Assistant Learning Mentor:</w:t>
            </w:r>
          </w:p>
          <w:p w14:paraId="29D1B1E4" w14:textId="57ED0917" w:rsidR="00CF0C3D" w:rsidRDefault="00CF0C3D" w:rsidP="00CF0C3D">
            <w:pPr>
              <w:pStyle w:val="NormalWeb"/>
              <w:rPr>
                <w:color w:val="000000"/>
                <w:sz w:val="27"/>
                <w:szCs w:val="27"/>
              </w:rPr>
            </w:pPr>
            <w:r>
              <w:rPr>
                <w:color w:val="000000"/>
                <w:sz w:val="27"/>
                <w:szCs w:val="27"/>
              </w:rPr>
              <w:t xml:space="preserve">During the mornings, behaviour support provided in Y6 for two high-profile pupils (no EHCPs). Without the support, teaching and learning is disrupted. </w:t>
            </w:r>
          </w:p>
          <w:p w14:paraId="6CA24BF8" w14:textId="2056B731" w:rsidR="00CF0C3D" w:rsidRDefault="00CF0C3D" w:rsidP="00CF0C3D">
            <w:pPr>
              <w:pStyle w:val="NormalWeb"/>
              <w:rPr>
                <w:color w:val="000000"/>
                <w:sz w:val="27"/>
                <w:szCs w:val="27"/>
              </w:rPr>
            </w:pPr>
            <w:r>
              <w:rPr>
                <w:color w:val="000000"/>
                <w:sz w:val="27"/>
                <w:szCs w:val="27"/>
              </w:rPr>
              <w:t>Mentoring provided for year 3 and 4 pupils in lower school during the afternoons. 1-1 support provided for the Year 4 pupil when they are in school for the day.</w:t>
            </w:r>
          </w:p>
          <w:p w14:paraId="294968A0" w14:textId="39BE8C46" w:rsidR="00CF0C3D" w:rsidRDefault="00CF0C3D" w:rsidP="00CF0C3D">
            <w:pPr>
              <w:pStyle w:val="NormalWeb"/>
              <w:rPr>
                <w:color w:val="000000"/>
                <w:sz w:val="27"/>
                <w:szCs w:val="27"/>
              </w:rPr>
            </w:pPr>
            <w:r>
              <w:rPr>
                <w:color w:val="000000"/>
                <w:sz w:val="27"/>
                <w:szCs w:val="27"/>
              </w:rPr>
              <w:t>Staff Caseload Groups:</w:t>
            </w:r>
          </w:p>
          <w:p w14:paraId="003F7B99" w14:textId="77777777" w:rsidR="00CF0C3D" w:rsidRDefault="00CF0C3D" w:rsidP="00CF0C3D">
            <w:pPr>
              <w:pStyle w:val="NormalWeb"/>
              <w:rPr>
                <w:color w:val="000000"/>
                <w:sz w:val="27"/>
                <w:szCs w:val="27"/>
              </w:rPr>
            </w:pPr>
            <w:r>
              <w:rPr>
                <w:color w:val="000000"/>
                <w:sz w:val="27"/>
                <w:szCs w:val="27"/>
              </w:rPr>
              <w:t>Pastoral Manager 15 1 group of 5 children ADHD</w:t>
            </w:r>
          </w:p>
          <w:p w14:paraId="1E755C46" w14:textId="77777777" w:rsidR="00CF0C3D" w:rsidRDefault="00CF0C3D" w:rsidP="00CF0C3D">
            <w:pPr>
              <w:pStyle w:val="NormalWeb"/>
              <w:rPr>
                <w:color w:val="000000"/>
                <w:sz w:val="27"/>
                <w:szCs w:val="27"/>
              </w:rPr>
            </w:pPr>
            <w:r>
              <w:rPr>
                <w:color w:val="000000"/>
                <w:sz w:val="27"/>
                <w:szCs w:val="27"/>
              </w:rPr>
              <w:t>Learning Mentor 7 1 group of 3 children social skills</w:t>
            </w:r>
          </w:p>
          <w:p w14:paraId="1761AC0C" w14:textId="77777777" w:rsidR="00CF0C3D" w:rsidRDefault="00CF0C3D" w:rsidP="00CF0C3D">
            <w:pPr>
              <w:pStyle w:val="NormalWeb"/>
              <w:rPr>
                <w:color w:val="000000"/>
                <w:sz w:val="27"/>
                <w:szCs w:val="27"/>
              </w:rPr>
            </w:pPr>
            <w:r>
              <w:rPr>
                <w:color w:val="000000"/>
                <w:sz w:val="27"/>
                <w:szCs w:val="27"/>
              </w:rPr>
              <w:t>Assistant Mentor 8 No groups</w:t>
            </w:r>
          </w:p>
          <w:p w14:paraId="1911F638" w14:textId="77777777" w:rsidR="00CF0C3D" w:rsidRDefault="00CF0C3D" w:rsidP="00CF0C3D">
            <w:pPr>
              <w:pStyle w:val="NormalWeb"/>
              <w:rPr>
                <w:color w:val="000000"/>
                <w:sz w:val="27"/>
                <w:szCs w:val="27"/>
              </w:rPr>
            </w:pPr>
            <w:r>
              <w:rPr>
                <w:color w:val="000000"/>
                <w:sz w:val="27"/>
                <w:szCs w:val="27"/>
              </w:rPr>
              <w:t>Debbie Hollis REACH 12</w:t>
            </w:r>
          </w:p>
          <w:p w14:paraId="3F20438B" w14:textId="4470DE70" w:rsidR="00F337E6" w:rsidRPr="0010075F" w:rsidRDefault="00F337E6" w:rsidP="00CF0C3D">
            <w:pPr>
              <w:pStyle w:val="NormalWeb"/>
              <w:rPr>
                <w:rFonts w:eastAsia="Arial" w:cs="Arial"/>
                <w:sz w:val="22"/>
                <w:szCs w:val="22"/>
              </w:rPr>
            </w:pPr>
          </w:p>
        </w:tc>
      </w:tr>
    </w:tbl>
    <w:p w14:paraId="40E13543" w14:textId="3B024FA8" w:rsidR="0010075F" w:rsidRDefault="0010075F"/>
    <w:p w14:paraId="62B6BD51" w14:textId="77777777" w:rsidR="00C82D4C" w:rsidRDefault="00C82D4C"/>
    <w:tbl>
      <w:tblPr>
        <w:tblW w:w="9486" w:type="dxa"/>
        <w:tblLayout w:type="fixed"/>
        <w:tblCellMar>
          <w:left w:w="10" w:type="dxa"/>
          <w:right w:w="10" w:type="dxa"/>
        </w:tblCellMar>
        <w:tblLook w:val="04A0" w:firstRow="1" w:lastRow="0" w:firstColumn="1" w:lastColumn="0" w:noHBand="0" w:noVBand="1"/>
      </w:tblPr>
      <w:tblGrid>
        <w:gridCol w:w="9486"/>
      </w:tblGrid>
      <w:tr w:rsidR="00F337E6" w14:paraId="70EE1160"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2E77D94" w14:textId="77777777" w:rsidR="00F337E6" w:rsidRPr="00A739AA" w:rsidRDefault="00F337E6" w:rsidP="0010075F">
            <w:pPr>
              <w:tabs>
                <w:tab w:val="left" w:pos="3135"/>
              </w:tabs>
              <w:suppressAutoHyphens w:val="0"/>
              <w:autoSpaceDN/>
              <w:spacing w:before="60" w:after="60" w:line="240" w:lineRule="auto"/>
              <w:ind w:right="57"/>
              <w:rPr>
                <w:b/>
                <w:iCs/>
                <w:color w:val="auto"/>
                <w:szCs w:val="28"/>
                <w:lang w:val="en-US"/>
              </w:rPr>
            </w:pPr>
            <w:r w:rsidRPr="00A739AA">
              <w:rPr>
                <w:b/>
                <w:iCs/>
                <w:color w:val="auto"/>
                <w:szCs w:val="28"/>
                <w:lang w:val="en-US"/>
              </w:rPr>
              <w:lastRenderedPageBreak/>
              <w:t>Enrichment:</w:t>
            </w:r>
          </w:p>
          <w:p w14:paraId="15C98969" w14:textId="77777777" w:rsidR="00F337E6" w:rsidRPr="00146613" w:rsidRDefault="00F337E6" w:rsidP="0010075F">
            <w:pPr>
              <w:pStyle w:val="ListParagraph"/>
              <w:numPr>
                <w:ilvl w:val="0"/>
                <w:numId w:val="36"/>
              </w:numPr>
              <w:tabs>
                <w:tab w:val="left" w:pos="3135"/>
              </w:tabs>
              <w:suppressAutoHyphens w:val="0"/>
              <w:autoSpaceDN/>
              <w:spacing w:before="60" w:after="60" w:line="240" w:lineRule="auto"/>
              <w:ind w:right="57"/>
              <w:rPr>
                <w:iCs/>
                <w:color w:val="auto"/>
                <w:szCs w:val="28"/>
                <w:lang w:val="en-US"/>
              </w:rPr>
            </w:pPr>
            <w:r w:rsidRPr="00146613">
              <w:rPr>
                <w:iCs/>
                <w:color w:val="auto"/>
                <w:szCs w:val="28"/>
                <w:lang w:val="en-US"/>
              </w:rPr>
              <w:t>Drama / dance workshops</w:t>
            </w:r>
          </w:p>
          <w:p w14:paraId="6FA9312C" w14:textId="77777777" w:rsidR="00F337E6" w:rsidRDefault="00F337E6" w:rsidP="0010075F">
            <w:pPr>
              <w:pStyle w:val="ListParagraph"/>
              <w:numPr>
                <w:ilvl w:val="0"/>
                <w:numId w:val="36"/>
              </w:numPr>
              <w:tabs>
                <w:tab w:val="left" w:pos="3135"/>
              </w:tabs>
              <w:suppressAutoHyphens w:val="0"/>
              <w:autoSpaceDN/>
              <w:spacing w:before="60" w:after="60" w:line="240" w:lineRule="auto"/>
              <w:ind w:right="57"/>
              <w:rPr>
                <w:iCs/>
                <w:color w:val="auto"/>
                <w:szCs w:val="28"/>
                <w:lang w:val="en-US"/>
              </w:rPr>
            </w:pPr>
            <w:r w:rsidRPr="00146613">
              <w:rPr>
                <w:iCs/>
                <w:color w:val="auto"/>
                <w:szCs w:val="28"/>
                <w:lang w:val="en-US"/>
              </w:rPr>
              <w:t>wider opportunity music (year 4)</w:t>
            </w:r>
          </w:p>
          <w:p w14:paraId="48D04F62" w14:textId="77777777" w:rsidR="00F337E6" w:rsidRDefault="00F337E6" w:rsidP="0010075F">
            <w:pPr>
              <w:pStyle w:val="ListParagraph"/>
              <w:numPr>
                <w:ilvl w:val="0"/>
                <w:numId w:val="36"/>
              </w:numPr>
              <w:tabs>
                <w:tab w:val="left" w:pos="3135"/>
              </w:tabs>
              <w:suppressAutoHyphens w:val="0"/>
              <w:autoSpaceDN/>
              <w:spacing w:before="60" w:after="60" w:line="240" w:lineRule="auto"/>
              <w:ind w:right="57"/>
              <w:rPr>
                <w:iCs/>
                <w:color w:val="auto"/>
                <w:szCs w:val="28"/>
                <w:lang w:val="en-US"/>
              </w:rPr>
            </w:pPr>
            <w:r>
              <w:rPr>
                <w:iCs/>
                <w:color w:val="auto"/>
                <w:szCs w:val="28"/>
                <w:lang w:val="en-US"/>
              </w:rPr>
              <w:t>Theatre workshops (Birmingham Hippodrome)</w:t>
            </w:r>
          </w:p>
          <w:p w14:paraId="7A8239BD" w14:textId="77777777" w:rsidR="00F337E6" w:rsidRPr="00E27862" w:rsidRDefault="00F337E6" w:rsidP="0010075F">
            <w:pPr>
              <w:pStyle w:val="TableRowCentered"/>
              <w:jc w:val="left"/>
              <w:rPr>
                <w:color w:val="auto"/>
                <w:sz w:val="22"/>
                <w:szCs w:val="22"/>
              </w:rPr>
            </w:pPr>
            <w:r>
              <w:rPr>
                <w:iCs/>
                <w:color w:val="auto"/>
                <w:szCs w:val="28"/>
                <w:lang w:val="en-US"/>
              </w:rPr>
              <w:t xml:space="preserve">Educational visits </w:t>
            </w:r>
            <w:proofErr w:type="spellStart"/>
            <w:r>
              <w:rPr>
                <w:iCs/>
                <w:color w:val="auto"/>
                <w:szCs w:val="28"/>
                <w:lang w:val="en-US"/>
              </w:rPr>
              <w:t>subsidised</w:t>
            </w:r>
            <w:proofErr w:type="spellEnd"/>
          </w:p>
        </w:tc>
      </w:tr>
      <w:tr w:rsidR="00F337E6" w14:paraId="789F6726"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D8AAE" w14:textId="77777777" w:rsidR="00F337E6" w:rsidRPr="00A739AA" w:rsidRDefault="00F337E6" w:rsidP="0010075F">
            <w:pPr>
              <w:pStyle w:val="TableRowCentered"/>
              <w:jc w:val="left"/>
              <w:rPr>
                <w:b/>
                <w:color w:val="auto"/>
                <w:sz w:val="22"/>
                <w:szCs w:val="22"/>
              </w:rPr>
            </w:pPr>
            <w:r w:rsidRPr="00A739AA">
              <w:rPr>
                <w:b/>
                <w:color w:val="auto"/>
                <w:sz w:val="22"/>
                <w:szCs w:val="22"/>
              </w:rPr>
              <w:t xml:space="preserve">Evidence of Impact: </w:t>
            </w:r>
          </w:p>
          <w:p w14:paraId="205E2A53" w14:textId="77777777" w:rsidR="00F337E6" w:rsidRDefault="00F337E6" w:rsidP="0010075F">
            <w:pPr>
              <w:pStyle w:val="TableRowCentered"/>
              <w:ind w:left="0"/>
              <w:jc w:val="left"/>
              <w:rPr>
                <w:color w:val="auto"/>
                <w:sz w:val="22"/>
                <w:szCs w:val="22"/>
              </w:rPr>
            </w:pPr>
            <w:r w:rsidRPr="60273EDF">
              <w:rPr>
                <w:color w:val="auto"/>
                <w:sz w:val="22"/>
                <w:szCs w:val="22"/>
              </w:rPr>
              <w:t>Whole-school enrichment opportunities have ensured that all disadvantaged pupils have benefitted from experiencing creative activities, such as learning a musical instrument and taking part in a performance for parents at the end of the year. The subsidy of educational visits ensured that all disadvantaged pupils took part in educational visits and a high proportion went on the Y6 residential. Disadvantaged Pupils are actively encouraged to attend the wide range of extra-curricular clubs and sports competitions with other schools.</w:t>
            </w:r>
          </w:p>
          <w:p w14:paraId="578A8865" w14:textId="77777777" w:rsidR="00F337E6" w:rsidRPr="76C61390" w:rsidRDefault="00F337E6" w:rsidP="0010075F">
            <w:pPr>
              <w:pStyle w:val="TableRowCentered"/>
              <w:jc w:val="left"/>
              <w:rPr>
                <w:color w:val="auto"/>
                <w:sz w:val="22"/>
                <w:szCs w:val="22"/>
              </w:rPr>
            </w:pPr>
          </w:p>
        </w:tc>
      </w:tr>
      <w:tr w:rsidR="00F337E6" w14:paraId="67122667"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997CCA4" w14:textId="77777777" w:rsidR="00F337E6" w:rsidRPr="00A739AA" w:rsidRDefault="00F337E6" w:rsidP="00B24BA3">
            <w:pPr>
              <w:tabs>
                <w:tab w:val="left" w:pos="3135"/>
              </w:tabs>
              <w:suppressAutoHyphens w:val="0"/>
              <w:autoSpaceDN/>
              <w:spacing w:before="60" w:after="60" w:line="240" w:lineRule="auto"/>
              <w:ind w:right="57"/>
              <w:rPr>
                <w:b/>
                <w:iCs/>
                <w:color w:val="auto"/>
                <w:sz w:val="22"/>
                <w:szCs w:val="28"/>
                <w:lang w:val="en-US"/>
              </w:rPr>
            </w:pPr>
            <w:r w:rsidRPr="00A739AA">
              <w:rPr>
                <w:b/>
                <w:iCs/>
                <w:color w:val="auto"/>
                <w:sz w:val="22"/>
                <w:szCs w:val="28"/>
                <w:lang w:val="en-US"/>
              </w:rPr>
              <w:t>To purchase online subscriptions for every child:</w:t>
            </w:r>
          </w:p>
          <w:p w14:paraId="7F92AFA1" w14:textId="77777777" w:rsidR="00F337E6" w:rsidRPr="00A739AA" w:rsidRDefault="00F337E6" w:rsidP="00B24BA3">
            <w:pPr>
              <w:tabs>
                <w:tab w:val="left" w:pos="3135"/>
              </w:tabs>
              <w:suppressAutoHyphens w:val="0"/>
              <w:autoSpaceDN/>
              <w:spacing w:before="60" w:after="60" w:line="240" w:lineRule="auto"/>
              <w:ind w:right="57"/>
              <w:rPr>
                <w:b/>
                <w:iCs/>
                <w:color w:val="auto"/>
                <w:sz w:val="22"/>
                <w:szCs w:val="28"/>
                <w:lang w:val="en-US"/>
              </w:rPr>
            </w:pPr>
            <w:r w:rsidRPr="00A739AA">
              <w:rPr>
                <w:b/>
                <w:iCs/>
                <w:color w:val="auto"/>
                <w:sz w:val="22"/>
                <w:szCs w:val="28"/>
                <w:lang w:val="en-US"/>
              </w:rPr>
              <w:t>Bug Club</w:t>
            </w:r>
          </w:p>
          <w:p w14:paraId="3968B497" w14:textId="77777777" w:rsidR="00F337E6" w:rsidRPr="00A739AA" w:rsidRDefault="00F337E6" w:rsidP="00B24BA3">
            <w:pPr>
              <w:tabs>
                <w:tab w:val="left" w:pos="3135"/>
              </w:tabs>
              <w:suppressAutoHyphens w:val="0"/>
              <w:autoSpaceDN/>
              <w:spacing w:before="60" w:after="60" w:line="240" w:lineRule="auto"/>
              <w:ind w:right="57"/>
              <w:rPr>
                <w:b/>
                <w:iCs/>
                <w:color w:val="auto"/>
                <w:sz w:val="22"/>
                <w:szCs w:val="28"/>
                <w:lang w:val="en-US"/>
              </w:rPr>
            </w:pPr>
            <w:r w:rsidRPr="00A739AA">
              <w:rPr>
                <w:b/>
                <w:iCs/>
                <w:color w:val="auto"/>
                <w:sz w:val="22"/>
                <w:szCs w:val="28"/>
                <w:lang w:val="en-US"/>
              </w:rPr>
              <w:t>Mathletics</w:t>
            </w:r>
          </w:p>
          <w:p w14:paraId="00E4DD80" w14:textId="77777777" w:rsidR="00F337E6" w:rsidRDefault="00F337E6" w:rsidP="00B24BA3">
            <w:pPr>
              <w:pStyle w:val="TableRowCentered"/>
              <w:ind w:left="0"/>
              <w:jc w:val="left"/>
              <w:rPr>
                <w:color w:val="auto"/>
                <w:sz w:val="22"/>
                <w:szCs w:val="22"/>
              </w:rPr>
            </w:pPr>
            <w:r w:rsidRPr="00A739AA">
              <w:rPr>
                <w:b/>
                <w:iCs/>
                <w:color w:val="auto"/>
                <w:sz w:val="22"/>
                <w:szCs w:val="28"/>
                <w:lang w:val="en-US"/>
              </w:rPr>
              <w:t>TT Rockstars</w:t>
            </w:r>
          </w:p>
        </w:tc>
      </w:tr>
      <w:tr w:rsidR="00F337E6" w14:paraId="08E7542F" w14:textId="77777777" w:rsidTr="00A739A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83262" w14:textId="77777777" w:rsidR="00F337E6" w:rsidRPr="00A739AA" w:rsidRDefault="00F337E6" w:rsidP="00B24BA3">
            <w:pPr>
              <w:pStyle w:val="TableRowCentered"/>
              <w:jc w:val="left"/>
              <w:rPr>
                <w:b/>
                <w:color w:val="auto"/>
                <w:sz w:val="22"/>
                <w:szCs w:val="22"/>
              </w:rPr>
            </w:pPr>
            <w:r w:rsidRPr="00A739AA">
              <w:rPr>
                <w:b/>
                <w:color w:val="auto"/>
                <w:sz w:val="22"/>
                <w:szCs w:val="22"/>
              </w:rPr>
              <w:t>Evidence of Impact:</w:t>
            </w:r>
          </w:p>
          <w:p w14:paraId="5891AD4C" w14:textId="77777777" w:rsidR="00F337E6" w:rsidRDefault="00F337E6" w:rsidP="00B24BA3">
            <w:pPr>
              <w:pStyle w:val="TableRowCentered"/>
              <w:jc w:val="left"/>
              <w:rPr>
                <w:color w:val="auto"/>
                <w:sz w:val="22"/>
                <w:szCs w:val="22"/>
              </w:rPr>
            </w:pPr>
            <w:r w:rsidRPr="60273EDF">
              <w:rPr>
                <w:color w:val="auto"/>
                <w:sz w:val="22"/>
                <w:szCs w:val="22"/>
              </w:rPr>
              <w:t xml:space="preserve">Bug Club – diagnostic analysis provided by this platform for </w:t>
            </w:r>
            <w:proofErr w:type="spellStart"/>
            <w:r w:rsidRPr="60273EDF">
              <w:rPr>
                <w:color w:val="auto"/>
                <w:sz w:val="22"/>
                <w:szCs w:val="22"/>
              </w:rPr>
              <w:t>eReaders</w:t>
            </w:r>
            <w:proofErr w:type="spellEnd"/>
            <w:r w:rsidRPr="60273EDF">
              <w:rPr>
                <w:color w:val="auto"/>
                <w:sz w:val="22"/>
                <w:szCs w:val="22"/>
              </w:rPr>
              <w:t xml:space="preserve"> showed that all pupils accessed this reading portal throughout the year. The impact of this has been the engagement of disadvantaged boys in reading who have enjoyed the range of books and the interactive aspect of reading with pop of questions, opportunities to earn points. </w:t>
            </w:r>
          </w:p>
          <w:p w14:paraId="3575F290" w14:textId="77777777" w:rsidR="00F337E6" w:rsidRDefault="00F337E6" w:rsidP="0010075F">
            <w:pPr>
              <w:pStyle w:val="TableRowCentered"/>
              <w:ind w:left="0"/>
              <w:jc w:val="left"/>
              <w:rPr>
                <w:color w:val="auto"/>
                <w:sz w:val="22"/>
                <w:szCs w:val="22"/>
              </w:rPr>
            </w:pPr>
          </w:p>
        </w:tc>
      </w:tr>
    </w:tbl>
    <w:p w14:paraId="2D9548B2" w14:textId="77777777" w:rsidR="00F337E6" w:rsidRDefault="00F337E6" w:rsidP="00F337E6">
      <w:pPr>
        <w:spacing w:after="120"/>
        <w:rPr>
          <w:b/>
          <w:bCs/>
          <w:color w:val="104F75"/>
          <w:sz w:val="28"/>
          <w:szCs w:val="28"/>
        </w:rPr>
      </w:pPr>
    </w:p>
    <w:bookmarkEnd w:id="0"/>
    <w:bookmarkEnd w:id="1"/>
    <w:bookmarkEnd w:id="2"/>
    <w:bookmarkEnd w:id="3"/>
    <w:bookmarkEnd w:id="4"/>
    <w:p w14:paraId="3C0CEF23" w14:textId="77777777" w:rsidR="007B48FF" w:rsidRDefault="007B48FF" w:rsidP="00C86D46"/>
    <w:sectPr w:rsidR="007B48FF" w:rsidSect="00E36AAA">
      <w:footerReference w:type="default" r:id="rId21"/>
      <w:pgSz w:w="11906" w:h="16838"/>
      <w:pgMar w:top="709" w:right="1276" w:bottom="70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C78F" w14:textId="77777777" w:rsidR="001E220C" w:rsidRDefault="001E220C">
      <w:pPr>
        <w:spacing w:after="0" w:line="240" w:lineRule="auto"/>
      </w:pPr>
      <w:r>
        <w:separator/>
      </w:r>
    </w:p>
  </w:endnote>
  <w:endnote w:type="continuationSeparator" w:id="0">
    <w:p w14:paraId="4AF3A49E" w14:textId="77777777" w:rsidR="001E220C" w:rsidRDefault="001E220C">
      <w:pPr>
        <w:spacing w:after="0" w:line="240" w:lineRule="auto"/>
      </w:pPr>
      <w:r>
        <w:continuationSeparator/>
      </w:r>
    </w:p>
  </w:endnote>
  <w:endnote w:type="continuationNotice" w:id="1">
    <w:p w14:paraId="7BCFC1C8" w14:textId="77777777" w:rsidR="001E220C" w:rsidRDefault="001E2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D2337E" w:rsidRDefault="00D2337E">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53F7" w14:textId="77777777" w:rsidR="001E220C" w:rsidRDefault="001E220C">
      <w:pPr>
        <w:spacing w:after="0" w:line="240" w:lineRule="auto"/>
      </w:pPr>
      <w:r>
        <w:separator/>
      </w:r>
    </w:p>
  </w:footnote>
  <w:footnote w:type="continuationSeparator" w:id="0">
    <w:p w14:paraId="1E1128D7" w14:textId="77777777" w:rsidR="001E220C" w:rsidRDefault="001E220C">
      <w:pPr>
        <w:spacing w:after="0" w:line="240" w:lineRule="auto"/>
      </w:pPr>
      <w:r>
        <w:continuationSeparator/>
      </w:r>
    </w:p>
  </w:footnote>
  <w:footnote w:type="continuationNotice" w:id="1">
    <w:p w14:paraId="4456C14A" w14:textId="77777777" w:rsidR="001E220C" w:rsidRDefault="001E220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E66A6F"/>
    <w:multiLevelType w:val="hybridMultilevel"/>
    <w:tmpl w:val="E9E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C5B04"/>
    <w:multiLevelType w:val="hybridMultilevel"/>
    <w:tmpl w:val="FCD082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2B34D29"/>
    <w:multiLevelType w:val="hybridMultilevel"/>
    <w:tmpl w:val="6CC2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33013"/>
    <w:multiLevelType w:val="hybridMultilevel"/>
    <w:tmpl w:val="8A06A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E5B60"/>
    <w:multiLevelType w:val="hybridMultilevel"/>
    <w:tmpl w:val="62C2312E"/>
    <w:lvl w:ilvl="0" w:tplc="324A9964">
      <w:start w:val="1"/>
      <w:numFmt w:val="bullet"/>
      <w:lvlText w:val="Ø"/>
      <w:lvlJc w:val="left"/>
      <w:pPr>
        <w:ind w:left="720" w:hanging="360"/>
      </w:pPr>
      <w:rPr>
        <w:rFonts w:ascii="Wingdings" w:hAnsi="Wingdings" w:hint="default"/>
      </w:rPr>
    </w:lvl>
    <w:lvl w:ilvl="1" w:tplc="2B328028">
      <w:start w:val="1"/>
      <w:numFmt w:val="bullet"/>
      <w:lvlText w:val="o"/>
      <w:lvlJc w:val="left"/>
      <w:pPr>
        <w:ind w:left="1440" w:hanging="360"/>
      </w:pPr>
      <w:rPr>
        <w:rFonts w:ascii="Courier New" w:hAnsi="Courier New" w:hint="default"/>
      </w:rPr>
    </w:lvl>
    <w:lvl w:ilvl="2" w:tplc="EF88B4D2">
      <w:start w:val="1"/>
      <w:numFmt w:val="bullet"/>
      <w:lvlText w:val=""/>
      <w:lvlJc w:val="left"/>
      <w:pPr>
        <w:ind w:left="2160" w:hanging="360"/>
      </w:pPr>
      <w:rPr>
        <w:rFonts w:ascii="Wingdings" w:hAnsi="Wingdings" w:hint="default"/>
      </w:rPr>
    </w:lvl>
    <w:lvl w:ilvl="3" w:tplc="885497C6">
      <w:start w:val="1"/>
      <w:numFmt w:val="bullet"/>
      <w:lvlText w:val=""/>
      <w:lvlJc w:val="left"/>
      <w:pPr>
        <w:ind w:left="2880" w:hanging="360"/>
      </w:pPr>
      <w:rPr>
        <w:rFonts w:ascii="Symbol" w:hAnsi="Symbol" w:hint="default"/>
      </w:rPr>
    </w:lvl>
    <w:lvl w:ilvl="4" w:tplc="1D768012">
      <w:start w:val="1"/>
      <w:numFmt w:val="bullet"/>
      <w:lvlText w:val="o"/>
      <w:lvlJc w:val="left"/>
      <w:pPr>
        <w:ind w:left="3600" w:hanging="360"/>
      </w:pPr>
      <w:rPr>
        <w:rFonts w:ascii="Courier New" w:hAnsi="Courier New" w:hint="default"/>
      </w:rPr>
    </w:lvl>
    <w:lvl w:ilvl="5" w:tplc="DB5ACA0C">
      <w:start w:val="1"/>
      <w:numFmt w:val="bullet"/>
      <w:lvlText w:val=""/>
      <w:lvlJc w:val="left"/>
      <w:pPr>
        <w:ind w:left="4320" w:hanging="360"/>
      </w:pPr>
      <w:rPr>
        <w:rFonts w:ascii="Wingdings" w:hAnsi="Wingdings" w:hint="default"/>
      </w:rPr>
    </w:lvl>
    <w:lvl w:ilvl="6" w:tplc="EB5CEC18">
      <w:start w:val="1"/>
      <w:numFmt w:val="bullet"/>
      <w:lvlText w:val=""/>
      <w:lvlJc w:val="left"/>
      <w:pPr>
        <w:ind w:left="5040" w:hanging="360"/>
      </w:pPr>
      <w:rPr>
        <w:rFonts w:ascii="Symbol" w:hAnsi="Symbol" w:hint="default"/>
      </w:rPr>
    </w:lvl>
    <w:lvl w:ilvl="7" w:tplc="E45883FA">
      <w:start w:val="1"/>
      <w:numFmt w:val="bullet"/>
      <w:lvlText w:val="o"/>
      <w:lvlJc w:val="left"/>
      <w:pPr>
        <w:ind w:left="5760" w:hanging="360"/>
      </w:pPr>
      <w:rPr>
        <w:rFonts w:ascii="Courier New" w:hAnsi="Courier New" w:hint="default"/>
      </w:rPr>
    </w:lvl>
    <w:lvl w:ilvl="8" w:tplc="7F02E86E">
      <w:start w:val="1"/>
      <w:numFmt w:val="bullet"/>
      <w:lvlText w:val=""/>
      <w:lvlJc w:val="left"/>
      <w:pPr>
        <w:ind w:left="6480" w:hanging="360"/>
      </w:pPr>
      <w:rPr>
        <w:rFonts w:ascii="Wingdings" w:hAnsi="Wingdings" w:hint="default"/>
      </w:rPr>
    </w:lvl>
  </w:abstractNum>
  <w:abstractNum w:abstractNumId="15"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6FC1BD1"/>
    <w:multiLevelType w:val="hybridMultilevel"/>
    <w:tmpl w:val="CB24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3D9676A6"/>
    <w:multiLevelType w:val="hybridMultilevel"/>
    <w:tmpl w:val="2B36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 w15:restartNumberingAfterBreak="0">
    <w:nsid w:val="542A27AE"/>
    <w:multiLevelType w:val="hybridMultilevel"/>
    <w:tmpl w:val="DA9670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45870F2"/>
    <w:multiLevelType w:val="hybridMultilevel"/>
    <w:tmpl w:val="B57CD25A"/>
    <w:lvl w:ilvl="0" w:tplc="87985A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237AF"/>
    <w:multiLevelType w:val="hybridMultilevel"/>
    <w:tmpl w:val="D8C6C4E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53CFB"/>
    <w:multiLevelType w:val="hybridMultilevel"/>
    <w:tmpl w:val="6C58E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5"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A4E5C72"/>
    <w:multiLevelType w:val="hybridMultilevel"/>
    <w:tmpl w:val="7A5A7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1" w15:restartNumberingAfterBreak="0">
    <w:nsid w:val="7BC624BD"/>
    <w:multiLevelType w:val="multilevel"/>
    <w:tmpl w:val="328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3"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917857945">
    <w:abstractNumId w:val="8"/>
  </w:num>
  <w:num w:numId="2" w16cid:durableId="225265186">
    <w:abstractNumId w:val="6"/>
  </w:num>
  <w:num w:numId="3" w16cid:durableId="172964470">
    <w:abstractNumId w:val="9"/>
  </w:num>
  <w:num w:numId="4" w16cid:durableId="1449741735">
    <w:abstractNumId w:val="11"/>
  </w:num>
  <w:num w:numId="5" w16cid:durableId="576599627">
    <w:abstractNumId w:val="2"/>
  </w:num>
  <w:num w:numId="6" w16cid:durableId="560024420">
    <w:abstractNumId w:val="23"/>
  </w:num>
  <w:num w:numId="7" w16cid:durableId="1147473134">
    <w:abstractNumId w:val="33"/>
  </w:num>
  <w:num w:numId="8" w16cid:durableId="1954095458">
    <w:abstractNumId w:val="38"/>
  </w:num>
  <w:num w:numId="9" w16cid:durableId="1327905288">
    <w:abstractNumId w:val="36"/>
  </w:num>
  <w:num w:numId="10" w16cid:durableId="1508400430">
    <w:abstractNumId w:val="34"/>
  </w:num>
  <w:num w:numId="11" w16cid:durableId="860973166">
    <w:abstractNumId w:val="7"/>
  </w:num>
  <w:num w:numId="12" w16cid:durableId="817379552">
    <w:abstractNumId w:val="37"/>
  </w:num>
  <w:num w:numId="13" w16cid:durableId="1758358214">
    <w:abstractNumId w:val="31"/>
  </w:num>
  <w:num w:numId="14" w16cid:durableId="1009941335">
    <w:abstractNumId w:val="15"/>
  </w:num>
  <w:num w:numId="15" w16cid:durableId="216090040">
    <w:abstractNumId w:val="29"/>
  </w:num>
  <w:num w:numId="16" w16cid:durableId="263459423">
    <w:abstractNumId w:val="43"/>
  </w:num>
  <w:num w:numId="17" w16cid:durableId="768434312">
    <w:abstractNumId w:val="16"/>
  </w:num>
  <w:num w:numId="18" w16cid:durableId="1206991973">
    <w:abstractNumId w:val="20"/>
  </w:num>
  <w:num w:numId="19" w16cid:durableId="101195982">
    <w:abstractNumId w:val="0"/>
  </w:num>
  <w:num w:numId="20" w16cid:durableId="176386535">
    <w:abstractNumId w:val="25"/>
  </w:num>
  <w:num w:numId="21" w16cid:durableId="1684477330">
    <w:abstractNumId w:val="1"/>
  </w:num>
  <w:num w:numId="22" w16cid:durableId="1045570359">
    <w:abstractNumId w:val="21"/>
  </w:num>
  <w:num w:numId="23" w16cid:durableId="889613184">
    <w:abstractNumId w:val="42"/>
  </w:num>
  <w:num w:numId="24" w16cid:durableId="364141122">
    <w:abstractNumId w:val="35"/>
  </w:num>
  <w:num w:numId="25" w16cid:durableId="1236891642">
    <w:abstractNumId w:val="3"/>
  </w:num>
  <w:num w:numId="26" w16cid:durableId="1133405052">
    <w:abstractNumId w:val="18"/>
  </w:num>
  <w:num w:numId="27" w16cid:durableId="1040059656">
    <w:abstractNumId w:val="24"/>
  </w:num>
  <w:num w:numId="28" w16cid:durableId="395594786">
    <w:abstractNumId w:val="32"/>
  </w:num>
  <w:num w:numId="29" w16cid:durableId="688525072">
    <w:abstractNumId w:val="40"/>
  </w:num>
  <w:num w:numId="30" w16cid:durableId="929119031">
    <w:abstractNumId w:val="4"/>
  </w:num>
  <w:num w:numId="31" w16cid:durableId="620767508">
    <w:abstractNumId w:val="19"/>
  </w:num>
  <w:num w:numId="32" w16cid:durableId="506599914">
    <w:abstractNumId w:val="27"/>
  </w:num>
  <w:num w:numId="33" w16cid:durableId="1281032618">
    <w:abstractNumId w:val="41"/>
  </w:num>
  <w:num w:numId="34" w16cid:durableId="494154268">
    <w:abstractNumId w:val="17"/>
  </w:num>
  <w:num w:numId="35" w16cid:durableId="1715959835">
    <w:abstractNumId w:val="5"/>
  </w:num>
  <w:num w:numId="36" w16cid:durableId="126895691">
    <w:abstractNumId w:val="22"/>
  </w:num>
  <w:num w:numId="37" w16cid:durableId="674966740">
    <w:abstractNumId w:val="28"/>
  </w:num>
  <w:num w:numId="38" w16cid:durableId="1761488901">
    <w:abstractNumId w:val="10"/>
  </w:num>
  <w:num w:numId="39" w16cid:durableId="196241773">
    <w:abstractNumId w:val="14"/>
  </w:num>
  <w:num w:numId="40" w16cid:durableId="1596478171">
    <w:abstractNumId w:val="13"/>
  </w:num>
  <w:num w:numId="41" w16cid:durableId="1287196680">
    <w:abstractNumId w:val="39"/>
  </w:num>
  <w:num w:numId="42" w16cid:durableId="303169977">
    <w:abstractNumId w:val="30"/>
  </w:num>
  <w:num w:numId="43" w16cid:durableId="1883247603">
    <w:abstractNumId w:val="26"/>
  </w:num>
  <w:num w:numId="44" w16cid:durableId="161482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072E"/>
    <w:rsid w:val="000313D6"/>
    <w:rsid w:val="00031898"/>
    <w:rsid w:val="0003197D"/>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971"/>
    <w:rsid w:val="00053A7C"/>
    <w:rsid w:val="0005411B"/>
    <w:rsid w:val="00055729"/>
    <w:rsid w:val="00055B4E"/>
    <w:rsid w:val="00055E73"/>
    <w:rsid w:val="00057960"/>
    <w:rsid w:val="000579AC"/>
    <w:rsid w:val="0006059C"/>
    <w:rsid w:val="000605EA"/>
    <w:rsid w:val="00060CBF"/>
    <w:rsid w:val="00060D61"/>
    <w:rsid w:val="00060F73"/>
    <w:rsid w:val="000613A6"/>
    <w:rsid w:val="00061CE6"/>
    <w:rsid w:val="000623D3"/>
    <w:rsid w:val="00063207"/>
    <w:rsid w:val="00063340"/>
    <w:rsid w:val="00066054"/>
    <w:rsid w:val="00066A04"/>
    <w:rsid w:val="00066B73"/>
    <w:rsid w:val="00066E1D"/>
    <w:rsid w:val="00071464"/>
    <w:rsid w:val="000724FB"/>
    <w:rsid w:val="000728F0"/>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6E"/>
    <w:rsid w:val="00095F83"/>
    <w:rsid w:val="00097A09"/>
    <w:rsid w:val="000A09C0"/>
    <w:rsid w:val="000A19FA"/>
    <w:rsid w:val="000A21DF"/>
    <w:rsid w:val="000A367E"/>
    <w:rsid w:val="000A4C2F"/>
    <w:rsid w:val="000A506E"/>
    <w:rsid w:val="000A5F10"/>
    <w:rsid w:val="000A5F32"/>
    <w:rsid w:val="000B0226"/>
    <w:rsid w:val="000B04BC"/>
    <w:rsid w:val="000B3BAD"/>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6921"/>
    <w:rsid w:val="000C764F"/>
    <w:rsid w:val="000D0FF7"/>
    <w:rsid w:val="000D1EBD"/>
    <w:rsid w:val="000D277F"/>
    <w:rsid w:val="000D3BA3"/>
    <w:rsid w:val="000D423D"/>
    <w:rsid w:val="000D4326"/>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E7A94"/>
    <w:rsid w:val="000F0EA0"/>
    <w:rsid w:val="000F14C5"/>
    <w:rsid w:val="000F19B5"/>
    <w:rsid w:val="000F2522"/>
    <w:rsid w:val="000F406A"/>
    <w:rsid w:val="000F4EB1"/>
    <w:rsid w:val="000F50CF"/>
    <w:rsid w:val="000F5C05"/>
    <w:rsid w:val="000F6CCF"/>
    <w:rsid w:val="000F71FA"/>
    <w:rsid w:val="001005ED"/>
    <w:rsid w:val="0010075F"/>
    <w:rsid w:val="001015BC"/>
    <w:rsid w:val="00102275"/>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526B"/>
    <w:rsid w:val="00136D68"/>
    <w:rsid w:val="00137EEF"/>
    <w:rsid w:val="001411E6"/>
    <w:rsid w:val="00141D27"/>
    <w:rsid w:val="0014317F"/>
    <w:rsid w:val="00143692"/>
    <w:rsid w:val="00144583"/>
    <w:rsid w:val="00145CB1"/>
    <w:rsid w:val="0014608F"/>
    <w:rsid w:val="00146613"/>
    <w:rsid w:val="001502A9"/>
    <w:rsid w:val="001521CA"/>
    <w:rsid w:val="00152206"/>
    <w:rsid w:val="00153CA3"/>
    <w:rsid w:val="001544DE"/>
    <w:rsid w:val="00154836"/>
    <w:rsid w:val="00155A11"/>
    <w:rsid w:val="0015621F"/>
    <w:rsid w:val="001570A9"/>
    <w:rsid w:val="001574DC"/>
    <w:rsid w:val="0016021F"/>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5D5"/>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5883"/>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CF1"/>
    <w:rsid w:val="001D6DC0"/>
    <w:rsid w:val="001D77E9"/>
    <w:rsid w:val="001E01C3"/>
    <w:rsid w:val="001E0687"/>
    <w:rsid w:val="001E0DE1"/>
    <w:rsid w:val="001E12D7"/>
    <w:rsid w:val="001E1A07"/>
    <w:rsid w:val="001E20AD"/>
    <w:rsid w:val="001E220C"/>
    <w:rsid w:val="001E29F1"/>
    <w:rsid w:val="001E4E1D"/>
    <w:rsid w:val="001E4FF9"/>
    <w:rsid w:val="001E522A"/>
    <w:rsid w:val="001E562F"/>
    <w:rsid w:val="001E58D7"/>
    <w:rsid w:val="001E5F86"/>
    <w:rsid w:val="001E72DC"/>
    <w:rsid w:val="001E76B0"/>
    <w:rsid w:val="001E7ADF"/>
    <w:rsid w:val="001F1801"/>
    <w:rsid w:val="001F198D"/>
    <w:rsid w:val="001F413B"/>
    <w:rsid w:val="001F4FB8"/>
    <w:rsid w:val="001F5269"/>
    <w:rsid w:val="001F6B77"/>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6CA"/>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5EB8"/>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BA6C8"/>
    <w:rsid w:val="002C1C11"/>
    <w:rsid w:val="002C2807"/>
    <w:rsid w:val="002C3775"/>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3C11"/>
    <w:rsid w:val="002D45D9"/>
    <w:rsid w:val="002D4DAA"/>
    <w:rsid w:val="002D6838"/>
    <w:rsid w:val="002D7E03"/>
    <w:rsid w:val="002D7E19"/>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254E"/>
    <w:rsid w:val="003425AF"/>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0AA9"/>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A7F0A"/>
    <w:rsid w:val="003B0CBB"/>
    <w:rsid w:val="003B0F02"/>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7F6"/>
    <w:rsid w:val="003D7A88"/>
    <w:rsid w:val="003D7ACE"/>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371B"/>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67DD7"/>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58C"/>
    <w:rsid w:val="00494A14"/>
    <w:rsid w:val="0049548C"/>
    <w:rsid w:val="00496236"/>
    <w:rsid w:val="004969BB"/>
    <w:rsid w:val="004972D5"/>
    <w:rsid w:val="004A0134"/>
    <w:rsid w:val="004A0933"/>
    <w:rsid w:val="004A0B31"/>
    <w:rsid w:val="004A0CA4"/>
    <w:rsid w:val="004A1D50"/>
    <w:rsid w:val="004A283A"/>
    <w:rsid w:val="004A2D5C"/>
    <w:rsid w:val="004A3BC4"/>
    <w:rsid w:val="004A44B3"/>
    <w:rsid w:val="004A44D9"/>
    <w:rsid w:val="004A4AB8"/>
    <w:rsid w:val="004A5014"/>
    <w:rsid w:val="004A50D0"/>
    <w:rsid w:val="004A623E"/>
    <w:rsid w:val="004A62A6"/>
    <w:rsid w:val="004A660B"/>
    <w:rsid w:val="004A6F6A"/>
    <w:rsid w:val="004B0EF8"/>
    <w:rsid w:val="004B1B9A"/>
    <w:rsid w:val="004B1D84"/>
    <w:rsid w:val="004B1EBA"/>
    <w:rsid w:val="004B2512"/>
    <w:rsid w:val="004B2649"/>
    <w:rsid w:val="004B4453"/>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A38"/>
    <w:rsid w:val="004F2DA0"/>
    <w:rsid w:val="004F3078"/>
    <w:rsid w:val="004F3914"/>
    <w:rsid w:val="004F3C63"/>
    <w:rsid w:val="004F4B6B"/>
    <w:rsid w:val="004F5A6F"/>
    <w:rsid w:val="0050115E"/>
    <w:rsid w:val="00502FAB"/>
    <w:rsid w:val="00505101"/>
    <w:rsid w:val="005052AE"/>
    <w:rsid w:val="005053BE"/>
    <w:rsid w:val="00506ADD"/>
    <w:rsid w:val="00510239"/>
    <w:rsid w:val="00511503"/>
    <w:rsid w:val="005146E2"/>
    <w:rsid w:val="005153B8"/>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328"/>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679C"/>
    <w:rsid w:val="00567F83"/>
    <w:rsid w:val="005700BF"/>
    <w:rsid w:val="0057032A"/>
    <w:rsid w:val="00570915"/>
    <w:rsid w:val="0057152C"/>
    <w:rsid w:val="00572541"/>
    <w:rsid w:val="00572701"/>
    <w:rsid w:val="005737E5"/>
    <w:rsid w:val="005748C3"/>
    <w:rsid w:val="00575BAC"/>
    <w:rsid w:val="00575FA1"/>
    <w:rsid w:val="00576EFF"/>
    <w:rsid w:val="0057793A"/>
    <w:rsid w:val="00582578"/>
    <w:rsid w:val="00582796"/>
    <w:rsid w:val="00583B7B"/>
    <w:rsid w:val="00583DA4"/>
    <w:rsid w:val="0058405F"/>
    <w:rsid w:val="00584D98"/>
    <w:rsid w:val="005858B2"/>
    <w:rsid w:val="00585D94"/>
    <w:rsid w:val="0059105A"/>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22C5"/>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6A42"/>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4A3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0ADF"/>
    <w:rsid w:val="00683C27"/>
    <w:rsid w:val="00683D9C"/>
    <w:rsid w:val="00685163"/>
    <w:rsid w:val="00685237"/>
    <w:rsid w:val="00687677"/>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2"/>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5C00"/>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75C"/>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4FB0"/>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536D"/>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564"/>
    <w:rsid w:val="00747AEC"/>
    <w:rsid w:val="00747F38"/>
    <w:rsid w:val="007502D1"/>
    <w:rsid w:val="00750C33"/>
    <w:rsid w:val="00750D7C"/>
    <w:rsid w:val="00751874"/>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33F7"/>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4E98"/>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0839"/>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64F"/>
    <w:rsid w:val="00845A00"/>
    <w:rsid w:val="00846B45"/>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6E2"/>
    <w:rsid w:val="00872CD7"/>
    <w:rsid w:val="0087304C"/>
    <w:rsid w:val="008747E1"/>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EA"/>
    <w:rsid w:val="00886B93"/>
    <w:rsid w:val="00887BB4"/>
    <w:rsid w:val="008905C4"/>
    <w:rsid w:val="00890B01"/>
    <w:rsid w:val="00891155"/>
    <w:rsid w:val="008918ED"/>
    <w:rsid w:val="00891C07"/>
    <w:rsid w:val="008933B1"/>
    <w:rsid w:val="00893912"/>
    <w:rsid w:val="0089465A"/>
    <w:rsid w:val="008956D3"/>
    <w:rsid w:val="00895E40"/>
    <w:rsid w:val="008969AF"/>
    <w:rsid w:val="00897E55"/>
    <w:rsid w:val="008A1001"/>
    <w:rsid w:val="008A1C1B"/>
    <w:rsid w:val="008A280A"/>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5813"/>
    <w:rsid w:val="008D68D6"/>
    <w:rsid w:val="008D6E0B"/>
    <w:rsid w:val="008D708C"/>
    <w:rsid w:val="008D73B7"/>
    <w:rsid w:val="008E4056"/>
    <w:rsid w:val="008E6507"/>
    <w:rsid w:val="008E73FB"/>
    <w:rsid w:val="008F0706"/>
    <w:rsid w:val="008F0E7F"/>
    <w:rsid w:val="008F2E57"/>
    <w:rsid w:val="008F3430"/>
    <w:rsid w:val="008F3703"/>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4F7"/>
    <w:rsid w:val="0091058F"/>
    <w:rsid w:val="009112FE"/>
    <w:rsid w:val="0091198C"/>
    <w:rsid w:val="00911E25"/>
    <w:rsid w:val="00912B56"/>
    <w:rsid w:val="0091307A"/>
    <w:rsid w:val="0091359C"/>
    <w:rsid w:val="009144C0"/>
    <w:rsid w:val="00914EA0"/>
    <w:rsid w:val="00914EBF"/>
    <w:rsid w:val="0091524B"/>
    <w:rsid w:val="0091598C"/>
    <w:rsid w:val="00915CB6"/>
    <w:rsid w:val="00916079"/>
    <w:rsid w:val="009161B8"/>
    <w:rsid w:val="00917BB9"/>
    <w:rsid w:val="009201B3"/>
    <w:rsid w:val="009209C4"/>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67DE"/>
    <w:rsid w:val="00936968"/>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15BF"/>
    <w:rsid w:val="00962CA9"/>
    <w:rsid w:val="00963A36"/>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5DBB"/>
    <w:rsid w:val="009D6758"/>
    <w:rsid w:val="009D6E64"/>
    <w:rsid w:val="009D71E8"/>
    <w:rsid w:val="009D7CA1"/>
    <w:rsid w:val="009D7E73"/>
    <w:rsid w:val="009E02BF"/>
    <w:rsid w:val="009E071B"/>
    <w:rsid w:val="009E0D4E"/>
    <w:rsid w:val="009E2B34"/>
    <w:rsid w:val="009E2BDF"/>
    <w:rsid w:val="009E2FC0"/>
    <w:rsid w:val="009E33E9"/>
    <w:rsid w:val="009E39AB"/>
    <w:rsid w:val="009E4AE3"/>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0C0E"/>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36B1"/>
    <w:rsid w:val="00A4409C"/>
    <w:rsid w:val="00A4563C"/>
    <w:rsid w:val="00A45657"/>
    <w:rsid w:val="00A45684"/>
    <w:rsid w:val="00A468F4"/>
    <w:rsid w:val="00A4749A"/>
    <w:rsid w:val="00A47A03"/>
    <w:rsid w:val="00A47C4F"/>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2BFB"/>
    <w:rsid w:val="00A63E25"/>
    <w:rsid w:val="00A6450E"/>
    <w:rsid w:val="00A64F8D"/>
    <w:rsid w:val="00A665A5"/>
    <w:rsid w:val="00A67408"/>
    <w:rsid w:val="00A6747F"/>
    <w:rsid w:val="00A70689"/>
    <w:rsid w:val="00A719E8"/>
    <w:rsid w:val="00A7250E"/>
    <w:rsid w:val="00A739AA"/>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96D44"/>
    <w:rsid w:val="00AA04F9"/>
    <w:rsid w:val="00AA182F"/>
    <w:rsid w:val="00AA20BC"/>
    <w:rsid w:val="00AA2908"/>
    <w:rsid w:val="00AA30FD"/>
    <w:rsid w:val="00AA4D09"/>
    <w:rsid w:val="00AA52A4"/>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2A1A"/>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195"/>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05F45"/>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08D"/>
    <w:rsid w:val="00B2449D"/>
    <w:rsid w:val="00B24BA3"/>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2EB"/>
    <w:rsid w:val="00B979A9"/>
    <w:rsid w:val="00B97C8D"/>
    <w:rsid w:val="00BA0077"/>
    <w:rsid w:val="00BA034E"/>
    <w:rsid w:val="00BA046C"/>
    <w:rsid w:val="00BA1581"/>
    <w:rsid w:val="00BA3065"/>
    <w:rsid w:val="00BA34F2"/>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0F34"/>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3483"/>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003"/>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5BF4"/>
    <w:rsid w:val="00C17483"/>
    <w:rsid w:val="00C202A1"/>
    <w:rsid w:val="00C2080E"/>
    <w:rsid w:val="00C20E4C"/>
    <w:rsid w:val="00C21178"/>
    <w:rsid w:val="00C22D24"/>
    <w:rsid w:val="00C230F9"/>
    <w:rsid w:val="00C23E42"/>
    <w:rsid w:val="00C241F8"/>
    <w:rsid w:val="00C24B0D"/>
    <w:rsid w:val="00C26781"/>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7C8"/>
    <w:rsid w:val="00C5096B"/>
    <w:rsid w:val="00C51DB4"/>
    <w:rsid w:val="00C54516"/>
    <w:rsid w:val="00C54A92"/>
    <w:rsid w:val="00C54E90"/>
    <w:rsid w:val="00C55266"/>
    <w:rsid w:val="00C55C4D"/>
    <w:rsid w:val="00C56739"/>
    <w:rsid w:val="00C571A9"/>
    <w:rsid w:val="00C5731E"/>
    <w:rsid w:val="00C60022"/>
    <w:rsid w:val="00C60175"/>
    <w:rsid w:val="00C61060"/>
    <w:rsid w:val="00C61425"/>
    <w:rsid w:val="00C617F9"/>
    <w:rsid w:val="00C62EDD"/>
    <w:rsid w:val="00C636ED"/>
    <w:rsid w:val="00C639F4"/>
    <w:rsid w:val="00C64D48"/>
    <w:rsid w:val="00C65821"/>
    <w:rsid w:val="00C65888"/>
    <w:rsid w:val="00C66D73"/>
    <w:rsid w:val="00C7052F"/>
    <w:rsid w:val="00C705B0"/>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2D4C"/>
    <w:rsid w:val="00C83363"/>
    <w:rsid w:val="00C835BB"/>
    <w:rsid w:val="00C8444F"/>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B7EE3"/>
    <w:rsid w:val="00CC117A"/>
    <w:rsid w:val="00CC1B11"/>
    <w:rsid w:val="00CC336D"/>
    <w:rsid w:val="00CC3491"/>
    <w:rsid w:val="00CC5A4E"/>
    <w:rsid w:val="00CC7603"/>
    <w:rsid w:val="00CC7A3C"/>
    <w:rsid w:val="00CD1D58"/>
    <w:rsid w:val="00CD45EA"/>
    <w:rsid w:val="00CD4923"/>
    <w:rsid w:val="00CD6BE9"/>
    <w:rsid w:val="00CE215F"/>
    <w:rsid w:val="00CE2703"/>
    <w:rsid w:val="00CE3EFD"/>
    <w:rsid w:val="00CE4421"/>
    <w:rsid w:val="00CE50D1"/>
    <w:rsid w:val="00CE629A"/>
    <w:rsid w:val="00CE642B"/>
    <w:rsid w:val="00CE68EA"/>
    <w:rsid w:val="00CE6BFB"/>
    <w:rsid w:val="00CE7A83"/>
    <w:rsid w:val="00CE7ADD"/>
    <w:rsid w:val="00CF048A"/>
    <w:rsid w:val="00CF08F9"/>
    <w:rsid w:val="00CF0AC8"/>
    <w:rsid w:val="00CF0C3D"/>
    <w:rsid w:val="00CF1B86"/>
    <w:rsid w:val="00CF26E9"/>
    <w:rsid w:val="00CF3519"/>
    <w:rsid w:val="00CF3623"/>
    <w:rsid w:val="00CF4D6E"/>
    <w:rsid w:val="00CF52EA"/>
    <w:rsid w:val="00CF5C74"/>
    <w:rsid w:val="00CF7208"/>
    <w:rsid w:val="00CF7480"/>
    <w:rsid w:val="00D00AAB"/>
    <w:rsid w:val="00D01434"/>
    <w:rsid w:val="00D01A6D"/>
    <w:rsid w:val="00D02619"/>
    <w:rsid w:val="00D029D2"/>
    <w:rsid w:val="00D03340"/>
    <w:rsid w:val="00D050C5"/>
    <w:rsid w:val="00D0514A"/>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37E"/>
    <w:rsid w:val="00D23B19"/>
    <w:rsid w:val="00D25F7B"/>
    <w:rsid w:val="00D26175"/>
    <w:rsid w:val="00D27087"/>
    <w:rsid w:val="00D27A7B"/>
    <w:rsid w:val="00D27B7B"/>
    <w:rsid w:val="00D27F6E"/>
    <w:rsid w:val="00D3318A"/>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03F8"/>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39E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356"/>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156C"/>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36AAA"/>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6B6F"/>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09D8"/>
    <w:rsid w:val="00E71A18"/>
    <w:rsid w:val="00E71FD3"/>
    <w:rsid w:val="00E725F1"/>
    <w:rsid w:val="00E729AA"/>
    <w:rsid w:val="00E72FF0"/>
    <w:rsid w:val="00E7312D"/>
    <w:rsid w:val="00E77CDC"/>
    <w:rsid w:val="00E809C7"/>
    <w:rsid w:val="00E80F54"/>
    <w:rsid w:val="00E814D6"/>
    <w:rsid w:val="00E84862"/>
    <w:rsid w:val="00E848AA"/>
    <w:rsid w:val="00E85077"/>
    <w:rsid w:val="00E8667F"/>
    <w:rsid w:val="00E86943"/>
    <w:rsid w:val="00E87053"/>
    <w:rsid w:val="00E8706B"/>
    <w:rsid w:val="00E87808"/>
    <w:rsid w:val="00E908C3"/>
    <w:rsid w:val="00E91265"/>
    <w:rsid w:val="00E9185B"/>
    <w:rsid w:val="00E92616"/>
    <w:rsid w:val="00E9263E"/>
    <w:rsid w:val="00E93BAA"/>
    <w:rsid w:val="00E9407C"/>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477D"/>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03BB"/>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921"/>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2A8"/>
    <w:rsid w:val="00F31D1D"/>
    <w:rsid w:val="00F32ED0"/>
    <w:rsid w:val="00F337E6"/>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28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1D09"/>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00A9"/>
    <w:rsid w:val="00FF1118"/>
    <w:rsid w:val="00FF13AC"/>
    <w:rsid w:val="00FF19C7"/>
    <w:rsid w:val="00FF2C3D"/>
    <w:rsid w:val="00FF4A12"/>
    <w:rsid w:val="00FF506D"/>
    <w:rsid w:val="00FF56B0"/>
    <w:rsid w:val="00FF599B"/>
    <w:rsid w:val="00FF5AD9"/>
    <w:rsid w:val="00FF6C78"/>
    <w:rsid w:val="00FF732C"/>
    <w:rsid w:val="01BAFA69"/>
    <w:rsid w:val="01DB7F36"/>
    <w:rsid w:val="021D1C26"/>
    <w:rsid w:val="02C754A3"/>
    <w:rsid w:val="02DE122A"/>
    <w:rsid w:val="03B0E05C"/>
    <w:rsid w:val="03CD2278"/>
    <w:rsid w:val="03CDB333"/>
    <w:rsid w:val="04303DCD"/>
    <w:rsid w:val="06628302"/>
    <w:rsid w:val="0775387E"/>
    <w:rsid w:val="07B54EE9"/>
    <w:rsid w:val="07BEBBE3"/>
    <w:rsid w:val="0804BDE4"/>
    <w:rsid w:val="0888F006"/>
    <w:rsid w:val="08C6B06E"/>
    <w:rsid w:val="090B9C76"/>
    <w:rsid w:val="091D8CC0"/>
    <w:rsid w:val="0926FD11"/>
    <w:rsid w:val="09752CC5"/>
    <w:rsid w:val="0980209D"/>
    <w:rsid w:val="0A9BA0B0"/>
    <w:rsid w:val="0AAF7A3E"/>
    <w:rsid w:val="0AB4D9B3"/>
    <w:rsid w:val="0AD8B286"/>
    <w:rsid w:val="0B034240"/>
    <w:rsid w:val="0C922D06"/>
    <w:rsid w:val="0C953639"/>
    <w:rsid w:val="0CE5775A"/>
    <w:rsid w:val="0D579CC0"/>
    <w:rsid w:val="0D71BFB1"/>
    <w:rsid w:val="0DBAAC2F"/>
    <w:rsid w:val="0E1FFB28"/>
    <w:rsid w:val="0E26D945"/>
    <w:rsid w:val="0E7503F2"/>
    <w:rsid w:val="0F1805F1"/>
    <w:rsid w:val="0F22852E"/>
    <w:rsid w:val="0F4E7BAE"/>
    <w:rsid w:val="0FBD8B06"/>
    <w:rsid w:val="0FE564DA"/>
    <w:rsid w:val="100B3F02"/>
    <w:rsid w:val="101356F0"/>
    <w:rsid w:val="101FDF19"/>
    <w:rsid w:val="114B2C84"/>
    <w:rsid w:val="1168A75C"/>
    <w:rsid w:val="11E04427"/>
    <w:rsid w:val="12340E09"/>
    <w:rsid w:val="1238A86C"/>
    <w:rsid w:val="125A1BD1"/>
    <w:rsid w:val="12BCFF3E"/>
    <w:rsid w:val="12F52BC8"/>
    <w:rsid w:val="137B4AA5"/>
    <w:rsid w:val="1396B2B0"/>
    <w:rsid w:val="13AC852B"/>
    <w:rsid w:val="13C92CED"/>
    <w:rsid w:val="161FE6EF"/>
    <w:rsid w:val="162B0B1A"/>
    <w:rsid w:val="163A8770"/>
    <w:rsid w:val="17588CF1"/>
    <w:rsid w:val="187FF64E"/>
    <w:rsid w:val="18D314C3"/>
    <w:rsid w:val="195787B1"/>
    <w:rsid w:val="19722832"/>
    <w:rsid w:val="1A07D2C8"/>
    <w:rsid w:val="1A342C4A"/>
    <w:rsid w:val="1B0F89A2"/>
    <w:rsid w:val="1B903DB1"/>
    <w:rsid w:val="1B9BF584"/>
    <w:rsid w:val="1BE439D0"/>
    <w:rsid w:val="1CAC1C78"/>
    <w:rsid w:val="1CBBD571"/>
    <w:rsid w:val="1CBE0865"/>
    <w:rsid w:val="1D027327"/>
    <w:rsid w:val="1D1AC8F8"/>
    <w:rsid w:val="1D4F7B7E"/>
    <w:rsid w:val="1D5B54F7"/>
    <w:rsid w:val="1D800A31"/>
    <w:rsid w:val="1E37DE6F"/>
    <w:rsid w:val="1E4DABF1"/>
    <w:rsid w:val="1E93D47E"/>
    <w:rsid w:val="1F9439F3"/>
    <w:rsid w:val="1FA3496F"/>
    <w:rsid w:val="1FE2FAC5"/>
    <w:rsid w:val="2095BC5F"/>
    <w:rsid w:val="2163A68C"/>
    <w:rsid w:val="2166533B"/>
    <w:rsid w:val="216F7F31"/>
    <w:rsid w:val="21974485"/>
    <w:rsid w:val="21DCC266"/>
    <w:rsid w:val="22A06CA7"/>
    <w:rsid w:val="22B8B1CF"/>
    <w:rsid w:val="23A33D1C"/>
    <w:rsid w:val="23F8AEC7"/>
    <w:rsid w:val="241090D9"/>
    <w:rsid w:val="24B66BE8"/>
    <w:rsid w:val="24E85E26"/>
    <w:rsid w:val="24FA6AE2"/>
    <w:rsid w:val="24FEE201"/>
    <w:rsid w:val="2527D171"/>
    <w:rsid w:val="254F9988"/>
    <w:rsid w:val="26C1AA8B"/>
    <w:rsid w:val="2736B347"/>
    <w:rsid w:val="279FAE26"/>
    <w:rsid w:val="286FB4C0"/>
    <w:rsid w:val="28868CDB"/>
    <w:rsid w:val="28906D19"/>
    <w:rsid w:val="2898BEED"/>
    <w:rsid w:val="292F2A06"/>
    <w:rsid w:val="29F39243"/>
    <w:rsid w:val="2A127EA0"/>
    <w:rsid w:val="2A3499D1"/>
    <w:rsid w:val="2A92CF0D"/>
    <w:rsid w:val="2AB15E52"/>
    <w:rsid w:val="2B168CEB"/>
    <w:rsid w:val="2B1D007D"/>
    <w:rsid w:val="2C6A6AB6"/>
    <w:rsid w:val="2C7B2944"/>
    <w:rsid w:val="2C93B985"/>
    <w:rsid w:val="2CC7DA44"/>
    <w:rsid w:val="2D1E1979"/>
    <w:rsid w:val="2D3A70C5"/>
    <w:rsid w:val="2D45D378"/>
    <w:rsid w:val="2D5C0D09"/>
    <w:rsid w:val="2D7FE6D3"/>
    <w:rsid w:val="2DBEA389"/>
    <w:rsid w:val="2E0C7CC0"/>
    <w:rsid w:val="2E683996"/>
    <w:rsid w:val="2E7492CA"/>
    <w:rsid w:val="2EE0A90F"/>
    <w:rsid w:val="2EED233F"/>
    <w:rsid w:val="2F01DA34"/>
    <w:rsid w:val="2F6B47BC"/>
    <w:rsid w:val="2F70D185"/>
    <w:rsid w:val="30506ABC"/>
    <w:rsid w:val="30D8CCC0"/>
    <w:rsid w:val="315C48C5"/>
    <w:rsid w:val="3211E31F"/>
    <w:rsid w:val="325077BC"/>
    <w:rsid w:val="33121816"/>
    <w:rsid w:val="33246727"/>
    <w:rsid w:val="33663118"/>
    <w:rsid w:val="33A03889"/>
    <w:rsid w:val="34A5393D"/>
    <w:rsid w:val="34A636BA"/>
    <w:rsid w:val="3547CFAF"/>
    <w:rsid w:val="35A92D66"/>
    <w:rsid w:val="35DB2316"/>
    <w:rsid w:val="35DE6D57"/>
    <w:rsid w:val="361EEB15"/>
    <w:rsid w:val="36605F62"/>
    <w:rsid w:val="372A34DD"/>
    <w:rsid w:val="37663771"/>
    <w:rsid w:val="37FC2FC3"/>
    <w:rsid w:val="39FBD05C"/>
    <w:rsid w:val="3A131855"/>
    <w:rsid w:val="3B48BFD4"/>
    <w:rsid w:val="3B4DAE1D"/>
    <w:rsid w:val="3C01CFE1"/>
    <w:rsid w:val="3C032684"/>
    <w:rsid w:val="3C30A267"/>
    <w:rsid w:val="3C47112D"/>
    <w:rsid w:val="3CD90ADF"/>
    <w:rsid w:val="3CE3C489"/>
    <w:rsid w:val="3D648D10"/>
    <w:rsid w:val="3DBA29B3"/>
    <w:rsid w:val="3EAF1E1E"/>
    <w:rsid w:val="3EAF61E9"/>
    <w:rsid w:val="3F17CB8D"/>
    <w:rsid w:val="3F305B8A"/>
    <w:rsid w:val="3F46AE1F"/>
    <w:rsid w:val="3FF06CFD"/>
    <w:rsid w:val="40DFB1BA"/>
    <w:rsid w:val="4104FF3B"/>
    <w:rsid w:val="41619DBC"/>
    <w:rsid w:val="41C77BE8"/>
    <w:rsid w:val="41ED226C"/>
    <w:rsid w:val="42295A32"/>
    <w:rsid w:val="425E8D13"/>
    <w:rsid w:val="42CCCC57"/>
    <w:rsid w:val="42ED91A5"/>
    <w:rsid w:val="4382D30C"/>
    <w:rsid w:val="43CF44E9"/>
    <w:rsid w:val="449A70A9"/>
    <w:rsid w:val="455E6DA5"/>
    <w:rsid w:val="45A5A933"/>
    <w:rsid w:val="4649D5A2"/>
    <w:rsid w:val="467A28B3"/>
    <w:rsid w:val="47020B5C"/>
    <w:rsid w:val="47C8D0CD"/>
    <w:rsid w:val="484E07F5"/>
    <w:rsid w:val="489DDBBD"/>
    <w:rsid w:val="48BC48A9"/>
    <w:rsid w:val="48C21A32"/>
    <w:rsid w:val="48DB70E6"/>
    <w:rsid w:val="48ED9065"/>
    <w:rsid w:val="4902AFFB"/>
    <w:rsid w:val="490B27C7"/>
    <w:rsid w:val="49295594"/>
    <w:rsid w:val="49A2A485"/>
    <w:rsid w:val="49C05E38"/>
    <w:rsid w:val="4A6352CE"/>
    <w:rsid w:val="4A8960C6"/>
    <w:rsid w:val="4A98ACBB"/>
    <w:rsid w:val="4A9ECD00"/>
    <w:rsid w:val="4BBE1E8D"/>
    <w:rsid w:val="4BC95BBE"/>
    <w:rsid w:val="4BFC42F5"/>
    <w:rsid w:val="4C36F820"/>
    <w:rsid w:val="4CB5312B"/>
    <w:rsid w:val="4D092D4A"/>
    <w:rsid w:val="4D981356"/>
    <w:rsid w:val="4DC10188"/>
    <w:rsid w:val="4E1CED66"/>
    <w:rsid w:val="4E3E57FE"/>
    <w:rsid w:val="4E6A8A15"/>
    <w:rsid w:val="4F96F4B4"/>
    <w:rsid w:val="500E7E4D"/>
    <w:rsid w:val="519CB756"/>
    <w:rsid w:val="51A3C1A6"/>
    <w:rsid w:val="5222F50C"/>
    <w:rsid w:val="5223DB90"/>
    <w:rsid w:val="5261E59B"/>
    <w:rsid w:val="527DA31C"/>
    <w:rsid w:val="52CC6F39"/>
    <w:rsid w:val="531411B3"/>
    <w:rsid w:val="5381D1E0"/>
    <w:rsid w:val="53CC4056"/>
    <w:rsid w:val="553D8BA6"/>
    <w:rsid w:val="553EC61B"/>
    <w:rsid w:val="5542D47E"/>
    <w:rsid w:val="558F46FA"/>
    <w:rsid w:val="55DB5F62"/>
    <w:rsid w:val="562829AC"/>
    <w:rsid w:val="575E0766"/>
    <w:rsid w:val="576E82D4"/>
    <w:rsid w:val="5811A2AC"/>
    <w:rsid w:val="58B99D55"/>
    <w:rsid w:val="5901C54D"/>
    <w:rsid w:val="5946BEC4"/>
    <w:rsid w:val="598CD007"/>
    <w:rsid w:val="5A1025E0"/>
    <w:rsid w:val="5B10C18C"/>
    <w:rsid w:val="5B1C4BE7"/>
    <w:rsid w:val="5B49436E"/>
    <w:rsid w:val="5B509BD2"/>
    <w:rsid w:val="5B6195DE"/>
    <w:rsid w:val="5B62ED96"/>
    <w:rsid w:val="5C7E5F86"/>
    <w:rsid w:val="5C827F8F"/>
    <w:rsid w:val="5CE46DE2"/>
    <w:rsid w:val="5E66E58F"/>
    <w:rsid w:val="5E6FA959"/>
    <w:rsid w:val="5EC57588"/>
    <w:rsid w:val="5F4F30B9"/>
    <w:rsid w:val="5FF99CB5"/>
    <w:rsid w:val="60185B87"/>
    <w:rsid w:val="6024A217"/>
    <w:rsid w:val="602E5826"/>
    <w:rsid w:val="60903B36"/>
    <w:rsid w:val="61318C6C"/>
    <w:rsid w:val="61521474"/>
    <w:rsid w:val="61C2FAD1"/>
    <w:rsid w:val="622873F7"/>
    <w:rsid w:val="6257F3A0"/>
    <w:rsid w:val="62A8A793"/>
    <w:rsid w:val="62EDE4D5"/>
    <w:rsid w:val="63431A7C"/>
    <w:rsid w:val="63EAAB3B"/>
    <w:rsid w:val="63EE8D7C"/>
    <w:rsid w:val="64BA85DD"/>
    <w:rsid w:val="65D006A6"/>
    <w:rsid w:val="66364876"/>
    <w:rsid w:val="667ABB3E"/>
    <w:rsid w:val="6684C297"/>
    <w:rsid w:val="672D04CF"/>
    <w:rsid w:val="677C18B6"/>
    <w:rsid w:val="679D90A5"/>
    <w:rsid w:val="67A53E5E"/>
    <w:rsid w:val="682B01D0"/>
    <w:rsid w:val="68669864"/>
    <w:rsid w:val="6943BA31"/>
    <w:rsid w:val="694BEF2B"/>
    <w:rsid w:val="69B25C00"/>
    <w:rsid w:val="69C42BF1"/>
    <w:rsid w:val="69CCECD4"/>
    <w:rsid w:val="69DB4A32"/>
    <w:rsid w:val="69DDEBB7"/>
    <w:rsid w:val="6A4D3B64"/>
    <w:rsid w:val="6AA61EF3"/>
    <w:rsid w:val="6B3920EF"/>
    <w:rsid w:val="6B541343"/>
    <w:rsid w:val="6B8B7A23"/>
    <w:rsid w:val="6BF0DCE2"/>
    <w:rsid w:val="6C25DD36"/>
    <w:rsid w:val="6C28307A"/>
    <w:rsid w:val="6C5195E4"/>
    <w:rsid w:val="6C61CAE2"/>
    <w:rsid w:val="6DBCD00F"/>
    <w:rsid w:val="6E1A1779"/>
    <w:rsid w:val="6E388502"/>
    <w:rsid w:val="6E9EF580"/>
    <w:rsid w:val="704EEADD"/>
    <w:rsid w:val="7140EFD9"/>
    <w:rsid w:val="7276AB6C"/>
    <w:rsid w:val="72B130D8"/>
    <w:rsid w:val="72F081C4"/>
    <w:rsid w:val="734652D8"/>
    <w:rsid w:val="735B6955"/>
    <w:rsid w:val="736B72BB"/>
    <w:rsid w:val="73E8EC5C"/>
    <w:rsid w:val="7433425F"/>
    <w:rsid w:val="74F43863"/>
    <w:rsid w:val="75353654"/>
    <w:rsid w:val="7577F5AD"/>
    <w:rsid w:val="75CF12C0"/>
    <w:rsid w:val="75D8B555"/>
    <w:rsid w:val="762A6E8A"/>
    <w:rsid w:val="76C61390"/>
    <w:rsid w:val="76F5CAE9"/>
    <w:rsid w:val="77680713"/>
    <w:rsid w:val="7816B087"/>
    <w:rsid w:val="7833B34F"/>
    <w:rsid w:val="78ED8B25"/>
    <w:rsid w:val="790E210E"/>
    <w:rsid w:val="799E1EE5"/>
    <w:rsid w:val="7A08A777"/>
    <w:rsid w:val="7A251FAB"/>
    <w:rsid w:val="7B097852"/>
    <w:rsid w:val="7C157D4A"/>
    <w:rsid w:val="7C16762E"/>
    <w:rsid w:val="7C31455F"/>
    <w:rsid w:val="7C4C8546"/>
    <w:rsid w:val="7CC3434C"/>
    <w:rsid w:val="7CC937AC"/>
    <w:rsid w:val="7CD82F2B"/>
    <w:rsid w:val="7D1189A1"/>
    <w:rsid w:val="7D88205A"/>
    <w:rsid w:val="7E36FCC8"/>
    <w:rsid w:val="7EDC189A"/>
    <w:rsid w:val="7FB2A2AA"/>
    <w:rsid w:val="7FE32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customStyle="1" w:styleId="xmsonormal">
    <w:name w:val="x_msonormal"/>
    <w:basedOn w:val="Normal"/>
    <w:rsid w:val="000C6921"/>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59"/>
    <w:rsid w:val="00F337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2536D"/>
    <w:pPr>
      <w:autoSpaceDE w:val="0"/>
      <w:adjustRightInd w:val="0"/>
    </w:pPr>
    <w:rPr>
      <w:rFonts w:ascii="Tahoma" w:hAnsi="Tahoma" w:cs="Tahoma"/>
      <w:color w:val="000000"/>
      <w:sz w:val="24"/>
      <w:szCs w:val="24"/>
    </w:rPr>
  </w:style>
  <w:style w:type="table" w:customStyle="1" w:styleId="TableGrid1">
    <w:name w:val="Table Grid1"/>
    <w:basedOn w:val="TableNormal"/>
    <w:next w:val="TableGrid"/>
    <w:uiPriority w:val="39"/>
    <w:rsid w:val="00B24BA3"/>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C3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3014">
      <w:bodyDiv w:val="1"/>
      <w:marLeft w:val="0"/>
      <w:marRight w:val="0"/>
      <w:marTop w:val="0"/>
      <w:marBottom w:val="0"/>
      <w:divBdr>
        <w:top w:val="none" w:sz="0" w:space="0" w:color="auto"/>
        <w:left w:val="none" w:sz="0" w:space="0" w:color="auto"/>
        <w:bottom w:val="none" w:sz="0" w:space="0" w:color="auto"/>
        <w:right w:val="none" w:sz="0" w:space="0" w:color="auto"/>
      </w:divBdr>
    </w:div>
    <w:div w:id="338000181">
      <w:bodyDiv w:val="1"/>
      <w:marLeft w:val="0"/>
      <w:marRight w:val="0"/>
      <w:marTop w:val="0"/>
      <w:marBottom w:val="0"/>
      <w:divBdr>
        <w:top w:val="none" w:sz="0" w:space="0" w:color="auto"/>
        <w:left w:val="none" w:sz="0" w:space="0" w:color="auto"/>
        <w:bottom w:val="none" w:sz="0" w:space="0" w:color="auto"/>
        <w:right w:val="none" w:sz="0" w:space="0" w:color="auto"/>
      </w:divBdr>
      <w:divsChild>
        <w:div w:id="1622347582">
          <w:marLeft w:val="0"/>
          <w:marRight w:val="0"/>
          <w:marTop w:val="0"/>
          <w:marBottom w:val="0"/>
          <w:divBdr>
            <w:top w:val="none" w:sz="0" w:space="0" w:color="auto"/>
            <w:left w:val="none" w:sz="0" w:space="0" w:color="auto"/>
            <w:bottom w:val="none" w:sz="0" w:space="0" w:color="auto"/>
            <w:right w:val="none" w:sz="0" w:space="0" w:color="auto"/>
          </w:divBdr>
        </w:div>
        <w:div w:id="447626200">
          <w:marLeft w:val="0"/>
          <w:marRight w:val="0"/>
          <w:marTop w:val="0"/>
          <w:marBottom w:val="0"/>
          <w:divBdr>
            <w:top w:val="none" w:sz="0" w:space="0" w:color="auto"/>
            <w:left w:val="none" w:sz="0" w:space="0" w:color="auto"/>
            <w:bottom w:val="none" w:sz="0" w:space="0" w:color="auto"/>
            <w:right w:val="none" w:sz="0" w:space="0" w:color="auto"/>
          </w:divBdr>
          <w:divsChild>
            <w:div w:id="2094666010">
              <w:marLeft w:val="0"/>
              <w:marRight w:val="0"/>
              <w:marTop w:val="30"/>
              <w:marBottom w:val="30"/>
              <w:divBdr>
                <w:top w:val="none" w:sz="0" w:space="0" w:color="auto"/>
                <w:left w:val="none" w:sz="0" w:space="0" w:color="auto"/>
                <w:bottom w:val="none" w:sz="0" w:space="0" w:color="auto"/>
                <w:right w:val="none" w:sz="0" w:space="0" w:color="auto"/>
              </w:divBdr>
              <w:divsChild>
                <w:div w:id="752698825">
                  <w:marLeft w:val="0"/>
                  <w:marRight w:val="0"/>
                  <w:marTop w:val="0"/>
                  <w:marBottom w:val="0"/>
                  <w:divBdr>
                    <w:top w:val="none" w:sz="0" w:space="0" w:color="auto"/>
                    <w:left w:val="none" w:sz="0" w:space="0" w:color="auto"/>
                    <w:bottom w:val="none" w:sz="0" w:space="0" w:color="auto"/>
                    <w:right w:val="none" w:sz="0" w:space="0" w:color="auto"/>
                  </w:divBdr>
                  <w:divsChild>
                    <w:div w:id="1454666931">
                      <w:marLeft w:val="0"/>
                      <w:marRight w:val="0"/>
                      <w:marTop w:val="0"/>
                      <w:marBottom w:val="0"/>
                      <w:divBdr>
                        <w:top w:val="none" w:sz="0" w:space="0" w:color="auto"/>
                        <w:left w:val="none" w:sz="0" w:space="0" w:color="auto"/>
                        <w:bottom w:val="none" w:sz="0" w:space="0" w:color="auto"/>
                        <w:right w:val="none" w:sz="0" w:space="0" w:color="auto"/>
                      </w:divBdr>
                    </w:div>
                  </w:divsChild>
                </w:div>
                <w:div w:id="2013751832">
                  <w:marLeft w:val="0"/>
                  <w:marRight w:val="0"/>
                  <w:marTop w:val="0"/>
                  <w:marBottom w:val="0"/>
                  <w:divBdr>
                    <w:top w:val="none" w:sz="0" w:space="0" w:color="auto"/>
                    <w:left w:val="none" w:sz="0" w:space="0" w:color="auto"/>
                    <w:bottom w:val="none" w:sz="0" w:space="0" w:color="auto"/>
                    <w:right w:val="none" w:sz="0" w:space="0" w:color="auto"/>
                  </w:divBdr>
                  <w:divsChild>
                    <w:div w:id="1483696378">
                      <w:marLeft w:val="0"/>
                      <w:marRight w:val="0"/>
                      <w:marTop w:val="0"/>
                      <w:marBottom w:val="0"/>
                      <w:divBdr>
                        <w:top w:val="none" w:sz="0" w:space="0" w:color="auto"/>
                        <w:left w:val="none" w:sz="0" w:space="0" w:color="auto"/>
                        <w:bottom w:val="none" w:sz="0" w:space="0" w:color="auto"/>
                        <w:right w:val="none" w:sz="0" w:space="0" w:color="auto"/>
                      </w:divBdr>
                    </w:div>
                  </w:divsChild>
                </w:div>
                <w:div w:id="897011539">
                  <w:marLeft w:val="0"/>
                  <w:marRight w:val="0"/>
                  <w:marTop w:val="0"/>
                  <w:marBottom w:val="0"/>
                  <w:divBdr>
                    <w:top w:val="none" w:sz="0" w:space="0" w:color="auto"/>
                    <w:left w:val="none" w:sz="0" w:space="0" w:color="auto"/>
                    <w:bottom w:val="none" w:sz="0" w:space="0" w:color="auto"/>
                    <w:right w:val="none" w:sz="0" w:space="0" w:color="auto"/>
                  </w:divBdr>
                  <w:divsChild>
                    <w:div w:id="832528652">
                      <w:marLeft w:val="0"/>
                      <w:marRight w:val="0"/>
                      <w:marTop w:val="0"/>
                      <w:marBottom w:val="0"/>
                      <w:divBdr>
                        <w:top w:val="none" w:sz="0" w:space="0" w:color="auto"/>
                        <w:left w:val="none" w:sz="0" w:space="0" w:color="auto"/>
                        <w:bottom w:val="none" w:sz="0" w:space="0" w:color="auto"/>
                        <w:right w:val="none" w:sz="0" w:space="0" w:color="auto"/>
                      </w:divBdr>
                    </w:div>
                  </w:divsChild>
                </w:div>
                <w:div w:id="1108160973">
                  <w:marLeft w:val="0"/>
                  <w:marRight w:val="0"/>
                  <w:marTop w:val="0"/>
                  <w:marBottom w:val="0"/>
                  <w:divBdr>
                    <w:top w:val="none" w:sz="0" w:space="0" w:color="auto"/>
                    <w:left w:val="none" w:sz="0" w:space="0" w:color="auto"/>
                    <w:bottom w:val="none" w:sz="0" w:space="0" w:color="auto"/>
                    <w:right w:val="none" w:sz="0" w:space="0" w:color="auto"/>
                  </w:divBdr>
                  <w:divsChild>
                    <w:div w:id="924923175">
                      <w:marLeft w:val="0"/>
                      <w:marRight w:val="0"/>
                      <w:marTop w:val="0"/>
                      <w:marBottom w:val="0"/>
                      <w:divBdr>
                        <w:top w:val="none" w:sz="0" w:space="0" w:color="auto"/>
                        <w:left w:val="none" w:sz="0" w:space="0" w:color="auto"/>
                        <w:bottom w:val="none" w:sz="0" w:space="0" w:color="auto"/>
                        <w:right w:val="none" w:sz="0" w:space="0" w:color="auto"/>
                      </w:divBdr>
                    </w:div>
                  </w:divsChild>
                </w:div>
                <w:div w:id="638608187">
                  <w:marLeft w:val="0"/>
                  <w:marRight w:val="0"/>
                  <w:marTop w:val="0"/>
                  <w:marBottom w:val="0"/>
                  <w:divBdr>
                    <w:top w:val="none" w:sz="0" w:space="0" w:color="auto"/>
                    <w:left w:val="none" w:sz="0" w:space="0" w:color="auto"/>
                    <w:bottom w:val="none" w:sz="0" w:space="0" w:color="auto"/>
                    <w:right w:val="none" w:sz="0" w:space="0" w:color="auto"/>
                  </w:divBdr>
                  <w:divsChild>
                    <w:div w:id="367144110">
                      <w:marLeft w:val="0"/>
                      <w:marRight w:val="0"/>
                      <w:marTop w:val="0"/>
                      <w:marBottom w:val="0"/>
                      <w:divBdr>
                        <w:top w:val="none" w:sz="0" w:space="0" w:color="auto"/>
                        <w:left w:val="none" w:sz="0" w:space="0" w:color="auto"/>
                        <w:bottom w:val="none" w:sz="0" w:space="0" w:color="auto"/>
                        <w:right w:val="none" w:sz="0" w:space="0" w:color="auto"/>
                      </w:divBdr>
                    </w:div>
                  </w:divsChild>
                </w:div>
                <w:div w:id="509181822">
                  <w:marLeft w:val="0"/>
                  <w:marRight w:val="0"/>
                  <w:marTop w:val="0"/>
                  <w:marBottom w:val="0"/>
                  <w:divBdr>
                    <w:top w:val="none" w:sz="0" w:space="0" w:color="auto"/>
                    <w:left w:val="none" w:sz="0" w:space="0" w:color="auto"/>
                    <w:bottom w:val="none" w:sz="0" w:space="0" w:color="auto"/>
                    <w:right w:val="none" w:sz="0" w:space="0" w:color="auto"/>
                  </w:divBdr>
                  <w:divsChild>
                    <w:div w:id="2021618607">
                      <w:marLeft w:val="0"/>
                      <w:marRight w:val="0"/>
                      <w:marTop w:val="0"/>
                      <w:marBottom w:val="0"/>
                      <w:divBdr>
                        <w:top w:val="none" w:sz="0" w:space="0" w:color="auto"/>
                        <w:left w:val="none" w:sz="0" w:space="0" w:color="auto"/>
                        <w:bottom w:val="none" w:sz="0" w:space="0" w:color="auto"/>
                        <w:right w:val="none" w:sz="0" w:space="0" w:color="auto"/>
                      </w:divBdr>
                    </w:div>
                  </w:divsChild>
                </w:div>
                <w:div w:id="1391032191">
                  <w:marLeft w:val="0"/>
                  <w:marRight w:val="0"/>
                  <w:marTop w:val="0"/>
                  <w:marBottom w:val="0"/>
                  <w:divBdr>
                    <w:top w:val="none" w:sz="0" w:space="0" w:color="auto"/>
                    <w:left w:val="none" w:sz="0" w:space="0" w:color="auto"/>
                    <w:bottom w:val="none" w:sz="0" w:space="0" w:color="auto"/>
                    <w:right w:val="none" w:sz="0" w:space="0" w:color="auto"/>
                  </w:divBdr>
                  <w:divsChild>
                    <w:div w:id="720441687">
                      <w:marLeft w:val="0"/>
                      <w:marRight w:val="0"/>
                      <w:marTop w:val="0"/>
                      <w:marBottom w:val="0"/>
                      <w:divBdr>
                        <w:top w:val="none" w:sz="0" w:space="0" w:color="auto"/>
                        <w:left w:val="none" w:sz="0" w:space="0" w:color="auto"/>
                        <w:bottom w:val="none" w:sz="0" w:space="0" w:color="auto"/>
                        <w:right w:val="none" w:sz="0" w:space="0" w:color="auto"/>
                      </w:divBdr>
                    </w:div>
                  </w:divsChild>
                </w:div>
                <w:div w:id="1379548644">
                  <w:marLeft w:val="0"/>
                  <w:marRight w:val="0"/>
                  <w:marTop w:val="0"/>
                  <w:marBottom w:val="0"/>
                  <w:divBdr>
                    <w:top w:val="none" w:sz="0" w:space="0" w:color="auto"/>
                    <w:left w:val="none" w:sz="0" w:space="0" w:color="auto"/>
                    <w:bottom w:val="none" w:sz="0" w:space="0" w:color="auto"/>
                    <w:right w:val="none" w:sz="0" w:space="0" w:color="auto"/>
                  </w:divBdr>
                  <w:divsChild>
                    <w:div w:id="13650928">
                      <w:marLeft w:val="0"/>
                      <w:marRight w:val="0"/>
                      <w:marTop w:val="0"/>
                      <w:marBottom w:val="0"/>
                      <w:divBdr>
                        <w:top w:val="none" w:sz="0" w:space="0" w:color="auto"/>
                        <w:left w:val="none" w:sz="0" w:space="0" w:color="auto"/>
                        <w:bottom w:val="none" w:sz="0" w:space="0" w:color="auto"/>
                        <w:right w:val="none" w:sz="0" w:space="0" w:color="auto"/>
                      </w:divBdr>
                    </w:div>
                  </w:divsChild>
                </w:div>
                <w:div w:id="1803113981">
                  <w:marLeft w:val="0"/>
                  <w:marRight w:val="0"/>
                  <w:marTop w:val="0"/>
                  <w:marBottom w:val="0"/>
                  <w:divBdr>
                    <w:top w:val="none" w:sz="0" w:space="0" w:color="auto"/>
                    <w:left w:val="none" w:sz="0" w:space="0" w:color="auto"/>
                    <w:bottom w:val="none" w:sz="0" w:space="0" w:color="auto"/>
                    <w:right w:val="none" w:sz="0" w:space="0" w:color="auto"/>
                  </w:divBdr>
                  <w:divsChild>
                    <w:div w:id="1742171146">
                      <w:marLeft w:val="0"/>
                      <w:marRight w:val="0"/>
                      <w:marTop w:val="0"/>
                      <w:marBottom w:val="0"/>
                      <w:divBdr>
                        <w:top w:val="none" w:sz="0" w:space="0" w:color="auto"/>
                        <w:left w:val="none" w:sz="0" w:space="0" w:color="auto"/>
                        <w:bottom w:val="none" w:sz="0" w:space="0" w:color="auto"/>
                        <w:right w:val="none" w:sz="0" w:space="0" w:color="auto"/>
                      </w:divBdr>
                    </w:div>
                  </w:divsChild>
                </w:div>
                <w:div w:id="1082876776">
                  <w:marLeft w:val="0"/>
                  <w:marRight w:val="0"/>
                  <w:marTop w:val="0"/>
                  <w:marBottom w:val="0"/>
                  <w:divBdr>
                    <w:top w:val="none" w:sz="0" w:space="0" w:color="auto"/>
                    <w:left w:val="none" w:sz="0" w:space="0" w:color="auto"/>
                    <w:bottom w:val="none" w:sz="0" w:space="0" w:color="auto"/>
                    <w:right w:val="none" w:sz="0" w:space="0" w:color="auto"/>
                  </w:divBdr>
                  <w:divsChild>
                    <w:div w:id="1554537890">
                      <w:marLeft w:val="0"/>
                      <w:marRight w:val="0"/>
                      <w:marTop w:val="0"/>
                      <w:marBottom w:val="0"/>
                      <w:divBdr>
                        <w:top w:val="none" w:sz="0" w:space="0" w:color="auto"/>
                        <w:left w:val="none" w:sz="0" w:space="0" w:color="auto"/>
                        <w:bottom w:val="none" w:sz="0" w:space="0" w:color="auto"/>
                        <w:right w:val="none" w:sz="0" w:space="0" w:color="auto"/>
                      </w:divBdr>
                    </w:div>
                  </w:divsChild>
                </w:div>
                <w:div w:id="634608598">
                  <w:marLeft w:val="0"/>
                  <w:marRight w:val="0"/>
                  <w:marTop w:val="0"/>
                  <w:marBottom w:val="0"/>
                  <w:divBdr>
                    <w:top w:val="none" w:sz="0" w:space="0" w:color="auto"/>
                    <w:left w:val="none" w:sz="0" w:space="0" w:color="auto"/>
                    <w:bottom w:val="none" w:sz="0" w:space="0" w:color="auto"/>
                    <w:right w:val="none" w:sz="0" w:space="0" w:color="auto"/>
                  </w:divBdr>
                  <w:divsChild>
                    <w:div w:id="1000043936">
                      <w:marLeft w:val="0"/>
                      <w:marRight w:val="0"/>
                      <w:marTop w:val="0"/>
                      <w:marBottom w:val="0"/>
                      <w:divBdr>
                        <w:top w:val="none" w:sz="0" w:space="0" w:color="auto"/>
                        <w:left w:val="none" w:sz="0" w:space="0" w:color="auto"/>
                        <w:bottom w:val="none" w:sz="0" w:space="0" w:color="auto"/>
                        <w:right w:val="none" w:sz="0" w:space="0" w:color="auto"/>
                      </w:divBdr>
                    </w:div>
                  </w:divsChild>
                </w:div>
                <w:div w:id="1298875828">
                  <w:marLeft w:val="0"/>
                  <w:marRight w:val="0"/>
                  <w:marTop w:val="0"/>
                  <w:marBottom w:val="0"/>
                  <w:divBdr>
                    <w:top w:val="none" w:sz="0" w:space="0" w:color="auto"/>
                    <w:left w:val="none" w:sz="0" w:space="0" w:color="auto"/>
                    <w:bottom w:val="none" w:sz="0" w:space="0" w:color="auto"/>
                    <w:right w:val="none" w:sz="0" w:space="0" w:color="auto"/>
                  </w:divBdr>
                  <w:divsChild>
                    <w:div w:id="884366504">
                      <w:marLeft w:val="0"/>
                      <w:marRight w:val="0"/>
                      <w:marTop w:val="0"/>
                      <w:marBottom w:val="0"/>
                      <w:divBdr>
                        <w:top w:val="none" w:sz="0" w:space="0" w:color="auto"/>
                        <w:left w:val="none" w:sz="0" w:space="0" w:color="auto"/>
                        <w:bottom w:val="none" w:sz="0" w:space="0" w:color="auto"/>
                        <w:right w:val="none" w:sz="0" w:space="0" w:color="auto"/>
                      </w:divBdr>
                    </w:div>
                  </w:divsChild>
                </w:div>
                <w:div w:id="1725174857">
                  <w:marLeft w:val="0"/>
                  <w:marRight w:val="0"/>
                  <w:marTop w:val="0"/>
                  <w:marBottom w:val="0"/>
                  <w:divBdr>
                    <w:top w:val="none" w:sz="0" w:space="0" w:color="auto"/>
                    <w:left w:val="none" w:sz="0" w:space="0" w:color="auto"/>
                    <w:bottom w:val="none" w:sz="0" w:space="0" w:color="auto"/>
                    <w:right w:val="none" w:sz="0" w:space="0" w:color="auto"/>
                  </w:divBdr>
                  <w:divsChild>
                    <w:div w:id="369111710">
                      <w:marLeft w:val="0"/>
                      <w:marRight w:val="0"/>
                      <w:marTop w:val="0"/>
                      <w:marBottom w:val="0"/>
                      <w:divBdr>
                        <w:top w:val="none" w:sz="0" w:space="0" w:color="auto"/>
                        <w:left w:val="none" w:sz="0" w:space="0" w:color="auto"/>
                        <w:bottom w:val="none" w:sz="0" w:space="0" w:color="auto"/>
                        <w:right w:val="none" w:sz="0" w:space="0" w:color="auto"/>
                      </w:divBdr>
                    </w:div>
                  </w:divsChild>
                </w:div>
                <w:div w:id="946735717">
                  <w:marLeft w:val="0"/>
                  <w:marRight w:val="0"/>
                  <w:marTop w:val="0"/>
                  <w:marBottom w:val="0"/>
                  <w:divBdr>
                    <w:top w:val="none" w:sz="0" w:space="0" w:color="auto"/>
                    <w:left w:val="none" w:sz="0" w:space="0" w:color="auto"/>
                    <w:bottom w:val="none" w:sz="0" w:space="0" w:color="auto"/>
                    <w:right w:val="none" w:sz="0" w:space="0" w:color="auto"/>
                  </w:divBdr>
                  <w:divsChild>
                    <w:div w:id="1241254153">
                      <w:marLeft w:val="0"/>
                      <w:marRight w:val="0"/>
                      <w:marTop w:val="0"/>
                      <w:marBottom w:val="0"/>
                      <w:divBdr>
                        <w:top w:val="none" w:sz="0" w:space="0" w:color="auto"/>
                        <w:left w:val="none" w:sz="0" w:space="0" w:color="auto"/>
                        <w:bottom w:val="none" w:sz="0" w:space="0" w:color="auto"/>
                        <w:right w:val="none" w:sz="0" w:space="0" w:color="auto"/>
                      </w:divBdr>
                    </w:div>
                  </w:divsChild>
                </w:div>
                <w:div w:id="902258364">
                  <w:marLeft w:val="0"/>
                  <w:marRight w:val="0"/>
                  <w:marTop w:val="0"/>
                  <w:marBottom w:val="0"/>
                  <w:divBdr>
                    <w:top w:val="none" w:sz="0" w:space="0" w:color="auto"/>
                    <w:left w:val="none" w:sz="0" w:space="0" w:color="auto"/>
                    <w:bottom w:val="none" w:sz="0" w:space="0" w:color="auto"/>
                    <w:right w:val="none" w:sz="0" w:space="0" w:color="auto"/>
                  </w:divBdr>
                  <w:divsChild>
                    <w:div w:id="1305620601">
                      <w:marLeft w:val="0"/>
                      <w:marRight w:val="0"/>
                      <w:marTop w:val="0"/>
                      <w:marBottom w:val="0"/>
                      <w:divBdr>
                        <w:top w:val="none" w:sz="0" w:space="0" w:color="auto"/>
                        <w:left w:val="none" w:sz="0" w:space="0" w:color="auto"/>
                        <w:bottom w:val="none" w:sz="0" w:space="0" w:color="auto"/>
                        <w:right w:val="none" w:sz="0" w:space="0" w:color="auto"/>
                      </w:divBdr>
                    </w:div>
                  </w:divsChild>
                </w:div>
                <w:div w:id="1302616382">
                  <w:marLeft w:val="0"/>
                  <w:marRight w:val="0"/>
                  <w:marTop w:val="0"/>
                  <w:marBottom w:val="0"/>
                  <w:divBdr>
                    <w:top w:val="none" w:sz="0" w:space="0" w:color="auto"/>
                    <w:left w:val="none" w:sz="0" w:space="0" w:color="auto"/>
                    <w:bottom w:val="none" w:sz="0" w:space="0" w:color="auto"/>
                    <w:right w:val="none" w:sz="0" w:space="0" w:color="auto"/>
                  </w:divBdr>
                  <w:divsChild>
                    <w:div w:id="138310863">
                      <w:marLeft w:val="0"/>
                      <w:marRight w:val="0"/>
                      <w:marTop w:val="0"/>
                      <w:marBottom w:val="0"/>
                      <w:divBdr>
                        <w:top w:val="none" w:sz="0" w:space="0" w:color="auto"/>
                        <w:left w:val="none" w:sz="0" w:space="0" w:color="auto"/>
                        <w:bottom w:val="none" w:sz="0" w:space="0" w:color="auto"/>
                        <w:right w:val="none" w:sz="0" w:space="0" w:color="auto"/>
                      </w:divBdr>
                    </w:div>
                  </w:divsChild>
                </w:div>
                <w:div w:id="2045863891">
                  <w:marLeft w:val="0"/>
                  <w:marRight w:val="0"/>
                  <w:marTop w:val="0"/>
                  <w:marBottom w:val="0"/>
                  <w:divBdr>
                    <w:top w:val="none" w:sz="0" w:space="0" w:color="auto"/>
                    <w:left w:val="none" w:sz="0" w:space="0" w:color="auto"/>
                    <w:bottom w:val="none" w:sz="0" w:space="0" w:color="auto"/>
                    <w:right w:val="none" w:sz="0" w:space="0" w:color="auto"/>
                  </w:divBdr>
                  <w:divsChild>
                    <w:div w:id="798377205">
                      <w:marLeft w:val="0"/>
                      <w:marRight w:val="0"/>
                      <w:marTop w:val="0"/>
                      <w:marBottom w:val="0"/>
                      <w:divBdr>
                        <w:top w:val="none" w:sz="0" w:space="0" w:color="auto"/>
                        <w:left w:val="none" w:sz="0" w:space="0" w:color="auto"/>
                        <w:bottom w:val="none" w:sz="0" w:space="0" w:color="auto"/>
                        <w:right w:val="none" w:sz="0" w:space="0" w:color="auto"/>
                      </w:divBdr>
                    </w:div>
                  </w:divsChild>
                </w:div>
                <w:div w:id="782187691">
                  <w:marLeft w:val="0"/>
                  <w:marRight w:val="0"/>
                  <w:marTop w:val="0"/>
                  <w:marBottom w:val="0"/>
                  <w:divBdr>
                    <w:top w:val="none" w:sz="0" w:space="0" w:color="auto"/>
                    <w:left w:val="none" w:sz="0" w:space="0" w:color="auto"/>
                    <w:bottom w:val="none" w:sz="0" w:space="0" w:color="auto"/>
                    <w:right w:val="none" w:sz="0" w:space="0" w:color="auto"/>
                  </w:divBdr>
                  <w:divsChild>
                    <w:div w:id="731536163">
                      <w:marLeft w:val="0"/>
                      <w:marRight w:val="0"/>
                      <w:marTop w:val="0"/>
                      <w:marBottom w:val="0"/>
                      <w:divBdr>
                        <w:top w:val="none" w:sz="0" w:space="0" w:color="auto"/>
                        <w:left w:val="none" w:sz="0" w:space="0" w:color="auto"/>
                        <w:bottom w:val="none" w:sz="0" w:space="0" w:color="auto"/>
                        <w:right w:val="none" w:sz="0" w:space="0" w:color="auto"/>
                      </w:divBdr>
                    </w:div>
                    <w:div w:id="2023973983">
                      <w:marLeft w:val="0"/>
                      <w:marRight w:val="0"/>
                      <w:marTop w:val="0"/>
                      <w:marBottom w:val="0"/>
                      <w:divBdr>
                        <w:top w:val="none" w:sz="0" w:space="0" w:color="auto"/>
                        <w:left w:val="none" w:sz="0" w:space="0" w:color="auto"/>
                        <w:bottom w:val="none" w:sz="0" w:space="0" w:color="auto"/>
                        <w:right w:val="none" w:sz="0" w:space="0" w:color="auto"/>
                      </w:divBdr>
                    </w:div>
                  </w:divsChild>
                </w:div>
                <w:div w:id="484323113">
                  <w:marLeft w:val="0"/>
                  <w:marRight w:val="0"/>
                  <w:marTop w:val="0"/>
                  <w:marBottom w:val="0"/>
                  <w:divBdr>
                    <w:top w:val="none" w:sz="0" w:space="0" w:color="auto"/>
                    <w:left w:val="none" w:sz="0" w:space="0" w:color="auto"/>
                    <w:bottom w:val="none" w:sz="0" w:space="0" w:color="auto"/>
                    <w:right w:val="none" w:sz="0" w:space="0" w:color="auto"/>
                  </w:divBdr>
                  <w:divsChild>
                    <w:div w:id="175193313">
                      <w:marLeft w:val="0"/>
                      <w:marRight w:val="0"/>
                      <w:marTop w:val="0"/>
                      <w:marBottom w:val="0"/>
                      <w:divBdr>
                        <w:top w:val="none" w:sz="0" w:space="0" w:color="auto"/>
                        <w:left w:val="none" w:sz="0" w:space="0" w:color="auto"/>
                        <w:bottom w:val="none" w:sz="0" w:space="0" w:color="auto"/>
                        <w:right w:val="none" w:sz="0" w:space="0" w:color="auto"/>
                      </w:divBdr>
                    </w:div>
                  </w:divsChild>
                </w:div>
                <w:div w:id="261383614">
                  <w:marLeft w:val="0"/>
                  <w:marRight w:val="0"/>
                  <w:marTop w:val="0"/>
                  <w:marBottom w:val="0"/>
                  <w:divBdr>
                    <w:top w:val="none" w:sz="0" w:space="0" w:color="auto"/>
                    <w:left w:val="none" w:sz="0" w:space="0" w:color="auto"/>
                    <w:bottom w:val="none" w:sz="0" w:space="0" w:color="auto"/>
                    <w:right w:val="none" w:sz="0" w:space="0" w:color="auto"/>
                  </w:divBdr>
                  <w:divsChild>
                    <w:div w:id="12031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3215">
          <w:marLeft w:val="0"/>
          <w:marRight w:val="0"/>
          <w:marTop w:val="0"/>
          <w:marBottom w:val="0"/>
          <w:divBdr>
            <w:top w:val="none" w:sz="0" w:space="0" w:color="auto"/>
            <w:left w:val="none" w:sz="0" w:space="0" w:color="auto"/>
            <w:bottom w:val="none" w:sz="0" w:space="0" w:color="auto"/>
            <w:right w:val="none" w:sz="0" w:space="0" w:color="auto"/>
          </w:divBdr>
        </w:div>
        <w:div w:id="479003605">
          <w:marLeft w:val="0"/>
          <w:marRight w:val="0"/>
          <w:marTop w:val="0"/>
          <w:marBottom w:val="0"/>
          <w:divBdr>
            <w:top w:val="none" w:sz="0" w:space="0" w:color="auto"/>
            <w:left w:val="none" w:sz="0" w:space="0" w:color="auto"/>
            <w:bottom w:val="none" w:sz="0" w:space="0" w:color="auto"/>
            <w:right w:val="none" w:sz="0" w:space="0" w:color="auto"/>
          </w:divBdr>
          <w:divsChild>
            <w:div w:id="1214659702">
              <w:marLeft w:val="0"/>
              <w:marRight w:val="0"/>
              <w:marTop w:val="30"/>
              <w:marBottom w:val="30"/>
              <w:divBdr>
                <w:top w:val="none" w:sz="0" w:space="0" w:color="auto"/>
                <w:left w:val="none" w:sz="0" w:space="0" w:color="auto"/>
                <w:bottom w:val="none" w:sz="0" w:space="0" w:color="auto"/>
                <w:right w:val="none" w:sz="0" w:space="0" w:color="auto"/>
              </w:divBdr>
              <w:divsChild>
                <w:div w:id="1076442051">
                  <w:marLeft w:val="0"/>
                  <w:marRight w:val="0"/>
                  <w:marTop w:val="0"/>
                  <w:marBottom w:val="0"/>
                  <w:divBdr>
                    <w:top w:val="none" w:sz="0" w:space="0" w:color="auto"/>
                    <w:left w:val="none" w:sz="0" w:space="0" w:color="auto"/>
                    <w:bottom w:val="none" w:sz="0" w:space="0" w:color="auto"/>
                    <w:right w:val="none" w:sz="0" w:space="0" w:color="auto"/>
                  </w:divBdr>
                  <w:divsChild>
                    <w:div w:id="893389686">
                      <w:marLeft w:val="0"/>
                      <w:marRight w:val="0"/>
                      <w:marTop w:val="0"/>
                      <w:marBottom w:val="0"/>
                      <w:divBdr>
                        <w:top w:val="none" w:sz="0" w:space="0" w:color="auto"/>
                        <w:left w:val="none" w:sz="0" w:space="0" w:color="auto"/>
                        <w:bottom w:val="none" w:sz="0" w:space="0" w:color="auto"/>
                        <w:right w:val="none" w:sz="0" w:space="0" w:color="auto"/>
                      </w:divBdr>
                    </w:div>
                  </w:divsChild>
                </w:div>
                <w:div w:id="1732803095">
                  <w:marLeft w:val="0"/>
                  <w:marRight w:val="0"/>
                  <w:marTop w:val="0"/>
                  <w:marBottom w:val="0"/>
                  <w:divBdr>
                    <w:top w:val="none" w:sz="0" w:space="0" w:color="auto"/>
                    <w:left w:val="none" w:sz="0" w:space="0" w:color="auto"/>
                    <w:bottom w:val="none" w:sz="0" w:space="0" w:color="auto"/>
                    <w:right w:val="none" w:sz="0" w:space="0" w:color="auto"/>
                  </w:divBdr>
                  <w:divsChild>
                    <w:div w:id="1340233847">
                      <w:marLeft w:val="0"/>
                      <w:marRight w:val="0"/>
                      <w:marTop w:val="0"/>
                      <w:marBottom w:val="0"/>
                      <w:divBdr>
                        <w:top w:val="none" w:sz="0" w:space="0" w:color="auto"/>
                        <w:left w:val="none" w:sz="0" w:space="0" w:color="auto"/>
                        <w:bottom w:val="none" w:sz="0" w:space="0" w:color="auto"/>
                        <w:right w:val="none" w:sz="0" w:space="0" w:color="auto"/>
                      </w:divBdr>
                    </w:div>
                  </w:divsChild>
                </w:div>
                <w:div w:id="190727341">
                  <w:marLeft w:val="0"/>
                  <w:marRight w:val="0"/>
                  <w:marTop w:val="0"/>
                  <w:marBottom w:val="0"/>
                  <w:divBdr>
                    <w:top w:val="none" w:sz="0" w:space="0" w:color="auto"/>
                    <w:left w:val="none" w:sz="0" w:space="0" w:color="auto"/>
                    <w:bottom w:val="none" w:sz="0" w:space="0" w:color="auto"/>
                    <w:right w:val="none" w:sz="0" w:space="0" w:color="auto"/>
                  </w:divBdr>
                  <w:divsChild>
                    <w:div w:id="2136831948">
                      <w:marLeft w:val="0"/>
                      <w:marRight w:val="0"/>
                      <w:marTop w:val="0"/>
                      <w:marBottom w:val="0"/>
                      <w:divBdr>
                        <w:top w:val="none" w:sz="0" w:space="0" w:color="auto"/>
                        <w:left w:val="none" w:sz="0" w:space="0" w:color="auto"/>
                        <w:bottom w:val="none" w:sz="0" w:space="0" w:color="auto"/>
                        <w:right w:val="none" w:sz="0" w:space="0" w:color="auto"/>
                      </w:divBdr>
                    </w:div>
                  </w:divsChild>
                </w:div>
                <w:div w:id="2054688478">
                  <w:marLeft w:val="0"/>
                  <w:marRight w:val="0"/>
                  <w:marTop w:val="0"/>
                  <w:marBottom w:val="0"/>
                  <w:divBdr>
                    <w:top w:val="none" w:sz="0" w:space="0" w:color="auto"/>
                    <w:left w:val="none" w:sz="0" w:space="0" w:color="auto"/>
                    <w:bottom w:val="none" w:sz="0" w:space="0" w:color="auto"/>
                    <w:right w:val="none" w:sz="0" w:space="0" w:color="auto"/>
                  </w:divBdr>
                  <w:divsChild>
                    <w:div w:id="1195460483">
                      <w:marLeft w:val="0"/>
                      <w:marRight w:val="0"/>
                      <w:marTop w:val="0"/>
                      <w:marBottom w:val="0"/>
                      <w:divBdr>
                        <w:top w:val="none" w:sz="0" w:space="0" w:color="auto"/>
                        <w:left w:val="none" w:sz="0" w:space="0" w:color="auto"/>
                        <w:bottom w:val="none" w:sz="0" w:space="0" w:color="auto"/>
                        <w:right w:val="none" w:sz="0" w:space="0" w:color="auto"/>
                      </w:divBdr>
                    </w:div>
                  </w:divsChild>
                </w:div>
                <w:div w:id="1568570030">
                  <w:marLeft w:val="0"/>
                  <w:marRight w:val="0"/>
                  <w:marTop w:val="0"/>
                  <w:marBottom w:val="0"/>
                  <w:divBdr>
                    <w:top w:val="none" w:sz="0" w:space="0" w:color="auto"/>
                    <w:left w:val="none" w:sz="0" w:space="0" w:color="auto"/>
                    <w:bottom w:val="none" w:sz="0" w:space="0" w:color="auto"/>
                    <w:right w:val="none" w:sz="0" w:space="0" w:color="auto"/>
                  </w:divBdr>
                  <w:divsChild>
                    <w:div w:id="1861621447">
                      <w:marLeft w:val="0"/>
                      <w:marRight w:val="0"/>
                      <w:marTop w:val="0"/>
                      <w:marBottom w:val="0"/>
                      <w:divBdr>
                        <w:top w:val="none" w:sz="0" w:space="0" w:color="auto"/>
                        <w:left w:val="none" w:sz="0" w:space="0" w:color="auto"/>
                        <w:bottom w:val="none" w:sz="0" w:space="0" w:color="auto"/>
                        <w:right w:val="none" w:sz="0" w:space="0" w:color="auto"/>
                      </w:divBdr>
                    </w:div>
                  </w:divsChild>
                </w:div>
                <w:div w:id="691077771">
                  <w:marLeft w:val="0"/>
                  <w:marRight w:val="0"/>
                  <w:marTop w:val="0"/>
                  <w:marBottom w:val="0"/>
                  <w:divBdr>
                    <w:top w:val="none" w:sz="0" w:space="0" w:color="auto"/>
                    <w:left w:val="none" w:sz="0" w:space="0" w:color="auto"/>
                    <w:bottom w:val="none" w:sz="0" w:space="0" w:color="auto"/>
                    <w:right w:val="none" w:sz="0" w:space="0" w:color="auto"/>
                  </w:divBdr>
                  <w:divsChild>
                    <w:div w:id="399641228">
                      <w:marLeft w:val="0"/>
                      <w:marRight w:val="0"/>
                      <w:marTop w:val="0"/>
                      <w:marBottom w:val="0"/>
                      <w:divBdr>
                        <w:top w:val="none" w:sz="0" w:space="0" w:color="auto"/>
                        <w:left w:val="none" w:sz="0" w:space="0" w:color="auto"/>
                        <w:bottom w:val="none" w:sz="0" w:space="0" w:color="auto"/>
                        <w:right w:val="none" w:sz="0" w:space="0" w:color="auto"/>
                      </w:divBdr>
                    </w:div>
                  </w:divsChild>
                </w:div>
                <w:div w:id="228543699">
                  <w:marLeft w:val="0"/>
                  <w:marRight w:val="0"/>
                  <w:marTop w:val="0"/>
                  <w:marBottom w:val="0"/>
                  <w:divBdr>
                    <w:top w:val="none" w:sz="0" w:space="0" w:color="auto"/>
                    <w:left w:val="none" w:sz="0" w:space="0" w:color="auto"/>
                    <w:bottom w:val="none" w:sz="0" w:space="0" w:color="auto"/>
                    <w:right w:val="none" w:sz="0" w:space="0" w:color="auto"/>
                  </w:divBdr>
                  <w:divsChild>
                    <w:div w:id="129134293">
                      <w:marLeft w:val="0"/>
                      <w:marRight w:val="0"/>
                      <w:marTop w:val="0"/>
                      <w:marBottom w:val="0"/>
                      <w:divBdr>
                        <w:top w:val="none" w:sz="0" w:space="0" w:color="auto"/>
                        <w:left w:val="none" w:sz="0" w:space="0" w:color="auto"/>
                        <w:bottom w:val="none" w:sz="0" w:space="0" w:color="auto"/>
                        <w:right w:val="none" w:sz="0" w:space="0" w:color="auto"/>
                      </w:divBdr>
                    </w:div>
                  </w:divsChild>
                </w:div>
                <w:div w:id="262305080">
                  <w:marLeft w:val="0"/>
                  <w:marRight w:val="0"/>
                  <w:marTop w:val="0"/>
                  <w:marBottom w:val="0"/>
                  <w:divBdr>
                    <w:top w:val="none" w:sz="0" w:space="0" w:color="auto"/>
                    <w:left w:val="none" w:sz="0" w:space="0" w:color="auto"/>
                    <w:bottom w:val="none" w:sz="0" w:space="0" w:color="auto"/>
                    <w:right w:val="none" w:sz="0" w:space="0" w:color="auto"/>
                  </w:divBdr>
                  <w:divsChild>
                    <w:div w:id="1748721621">
                      <w:marLeft w:val="0"/>
                      <w:marRight w:val="0"/>
                      <w:marTop w:val="0"/>
                      <w:marBottom w:val="0"/>
                      <w:divBdr>
                        <w:top w:val="none" w:sz="0" w:space="0" w:color="auto"/>
                        <w:left w:val="none" w:sz="0" w:space="0" w:color="auto"/>
                        <w:bottom w:val="none" w:sz="0" w:space="0" w:color="auto"/>
                        <w:right w:val="none" w:sz="0" w:space="0" w:color="auto"/>
                      </w:divBdr>
                    </w:div>
                  </w:divsChild>
                </w:div>
                <w:div w:id="761684024">
                  <w:marLeft w:val="0"/>
                  <w:marRight w:val="0"/>
                  <w:marTop w:val="0"/>
                  <w:marBottom w:val="0"/>
                  <w:divBdr>
                    <w:top w:val="none" w:sz="0" w:space="0" w:color="auto"/>
                    <w:left w:val="none" w:sz="0" w:space="0" w:color="auto"/>
                    <w:bottom w:val="none" w:sz="0" w:space="0" w:color="auto"/>
                    <w:right w:val="none" w:sz="0" w:space="0" w:color="auto"/>
                  </w:divBdr>
                  <w:divsChild>
                    <w:div w:id="427045346">
                      <w:marLeft w:val="0"/>
                      <w:marRight w:val="0"/>
                      <w:marTop w:val="0"/>
                      <w:marBottom w:val="0"/>
                      <w:divBdr>
                        <w:top w:val="none" w:sz="0" w:space="0" w:color="auto"/>
                        <w:left w:val="none" w:sz="0" w:space="0" w:color="auto"/>
                        <w:bottom w:val="none" w:sz="0" w:space="0" w:color="auto"/>
                        <w:right w:val="none" w:sz="0" w:space="0" w:color="auto"/>
                      </w:divBdr>
                    </w:div>
                    <w:div w:id="1210806031">
                      <w:marLeft w:val="0"/>
                      <w:marRight w:val="0"/>
                      <w:marTop w:val="0"/>
                      <w:marBottom w:val="0"/>
                      <w:divBdr>
                        <w:top w:val="none" w:sz="0" w:space="0" w:color="auto"/>
                        <w:left w:val="none" w:sz="0" w:space="0" w:color="auto"/>
                        <w:bottom w:val="none" w:sz="0" w:space="0" w:color="auto"/>
                        <w:right w:val="none" w:sz="0" w:space="0" w:color="auto"/>
                      </w:divBdr>
                    </w:div>
                  </w:divsChild>
                </w:div>
                <w:div w:id="736198648">
                  <w:marLeft w:val="0"/>
                  <w:marRight w:val="0"/>
                  <w:marTop w:val="0"/>
                  <w:marBottom w:val="0"/>
                  <w:divBdr>
                    <w:top w:val="none" w:sz="0" w:space="0" w:color="auto"/>
                    <w:left w:val="none" w:sz="0" w:space="0" w:color="auto"/>
                    <w:bottom w:val="none" w:sz="0" w:space="0" w:color="auto"/>
                    <w:right w:val="none" w:sz="0" w:space="0" w:color="auto"/>
                  </w:divBdr>
                  <w:divsChild>
                    <w:div w:id="17831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544484770">
      <w:bodyDiv w:val="1"/>
      <w:marLeft w:val="0"/>
      <w:marRight w:val="0"/>
      <w:marTop w:val="0"/>
      <w:marBottom w:val="0"/>
      <w:divBdr>
        <w:top w:val="none" w:sz="0" w:space="0" w:color="auto"/>
        <w:left w:val="none" w:sz="0" w:space="0" w:color="auto"/>
        <w:bottom w:val="none" w:sz="0" w:space="0" w:color="auto"/>
        <w:right w:val="none" w:sz="0" w:space="0" w:color="auto"/>
      </w:divBdr>
    </w:div>
    <w:div w:id="616714203">
      <w:bodyDiv w:val="1"/>
      <w:marLeft w:val="0"/>
      <w:marRight w:val="0"/>
      <w:marTop w:val="0"/>
      <w:marBottom w:val="0"/>
      <w:divBdr>
        <w:top w:val="none" w:sz="0" w:space="0" w:color="auto"/>
        <w:left w:val="none" w:sz="0" w:space="0" w:color="auto"/>
        <w:bottom w:val="none" w:sz="0" w:space="0" w:color="auto"/>
        <w:right w:val="none" w:sz="0" w:space="0" w:color="auto"/>
      </w:divBdr>
    </w:div>
    <w:div w:id="963079214">
      <w:bodyDiv w:val="1"/>
      <w:marLeft w:val="0"/>
      <w:marRight w:val="0"/>
      <w:marTop w:val="0"/>
      <w:marBottom w:val="0"/>
      <w:divBdr>
        <w:top w:val="none" w:sz="0" w:space="0" w:color="auto"/>
        <w:left w:val="none" w:sz="0" w:space="0" w:color="auto"/>
        <w:bottom w:val="none" w:sz="0" w:space="0" w:color="auto"/>
        <w:right w:val="none" w:sz="0" w:space="0" w:color="auto"/>
      </w:divBdr>
    </w:div>
    <w:div w:id="1008406480">
      <w:bodyDiv w:val="1"/>
      <w:marLeft w:val="0"/>
      <w:marRight w:val="0"/>
      <w:marTop w:val="0"/>
      <w:marBottom w:val="0"/>
      <w:divBdr>
        <w:top w:val="none" w:sz="0" w:space="0" w:color="auto"/>
        <w:left w:val="none" w:sz="0" w:space="0" w:color="auto"/>
        <w:bottom w:val="none" w:sz="0" w:space="0" w:color="auto"/>
        <w:right w:val="none" w:sz="0" w:space="0" w:color="auto"/>
      </w:divBdr>
    </w:div>
    <w:div w:id="1081102162">
      <w:bodyDiv w:val="1"/>
      <w:marLeft w:val="0"/>
      <w:marRight w:val="0"/>
      <w:marTop w:val="0"/>
      <w:marBottom w:val="0"/>
      <w:divBdr>
        <w:top w:val="none" w:sz="0" w:space="0" w:color="auto"/>
        <w:left w:val="none" w:sz="0" w:space="0" w:color="auto"/>
        <w:bottom w:val="none" w:sz="0" w:space="0" w:color="auto"/>
        <w:right w:val="none" w:sz="0" w:space="0" w:color="auto"/>
      </w:divBdr>
    </w:div>
    <w:div w:id="112723733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544633175">
      <w:bodyDiv w:val="1"/>
      <w:marLeft w:val="0"/>
      <w:marRight w:val="0"/>
      <w:marTop w:val="0"/>
      <w:marBottom w:val="0"/>
      <w:divBdr>
        <w:top w:val="none" w:sz="0" w:space="0" w:color="auto"/>
        <w:left w:val="none" w:sz="0" w:space="0" w:color="auto"/>
        <w:bottom w:val="none" w:sz="0" w:space="0" w:color="auto"/>
        <w:right w:val="none" w:sz="0" w:space="0" w:color="auto"/>
      </w:divBdr>
    </w:div>
    <w:div w:id="208175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educationendowmentfoundation.org.uk/education-evidence/teaching-learning-toolkit/one-to-one-tui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teaching-learning-toolkit/oral-language-interventions" TargetMode="External"/><Relationship Id="rId2" Type="http://schemas.openxmlformats.org/officeDocument/2006/relationships/customXml" Target="../customXml/item2.xml"/><Relationship Id="rId16" Type="http://schemas.openxmlformats.org/officeDocument/2006/relationships/hyperlink" Target="https://educationendowmentfoundation.org.uk/public/files/Publications/Maths/KS2_KS3_Maths_Guidance_2017.pdf" TargetMode="External"/><Relationship Id="rId20" Type="http://schemas.openxmlformats.org/officeDocument/2006/relationships/hyperlink" Target="https://www.gov.uk/government/publications/choosing-a-phonics-teaching-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small-group-tu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8155943B21549AD729C56FDF19275" ma:contentTypeVersion="17" ma:contentTypeDescription="Create a new document." ma:contentTypeScope="" ma:versionID="0bb6fdb1cea261dc6bfb7641c1484ef8">
  <xsd:schema xmlns:xsd="http://www.w3.org/2001/XMLSchema" xmlns:xs="http://www.w3.org/2001/XMLSchema" xmlns:p="http://schemas.microsoft.com/office/2006/metadata/properties" xmlns:ns2="6b984e09-b2b6-452a-98a2-d08ae04abcca" xmlns:ns3="0981f7db-982f-4d1d-97f0-5f57328573cd" targetNamespace="http://schemas.microsoft.com/office/2006/metadata/properties" ma:root="true" ma:fieldsID="f67bcd8c759aeab071cbf3aab3b6603b" ns2:_="" ns3:_="">
    <xsd:import namespace="6b984e09-b2b6-452a-98a2-d08ae04abcca"/>
    <xsd:import namespace="0981f7db-982f-4d1d-97f0-5f5732857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4e09-b2b6-452a-98a2-d08ae04ab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c3898d-f744-47b9-9b69-9453c24123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f7db-982f-4d1d-97f0-5f57328573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02a174-b443-45a6-9c80-530b6a8a82eb}" ma:internalName="TaxCatchAll" ma:showField="CatchAllData" ma:web="0981f7db-982f-4d1d-97f0-5f57328573c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984e09-b2b6-452a-98a2-d08ae04abcca">
      <Terms xmlns="http://schemas.microsoft.com/office/infopath/2007/PartnerControls"/>
    </lcf76f155ced4ddcb4097134ff3c332f>
    <TaxCatchAll xmlns="0981f7db-982f-4d1d-97f0-5f57328573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40EB2-34CD-4A96-AAC3-091420AD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4e09-b2b6-452a-98a2-d08ae04abcca"/>
    <ds:schemaRef ds:uri="0981f7db-982f-4d1d-97f0-5f5732857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BC665-2C25-4746-8A30-E6FDE07F7675}">
  <ds:schemaRefs>
    <ds:schemaRef ds:uri="http://schemas.openxmlformats.org/officeDocument/2006/bibliography"/>
  </ds:schemaRefs>
</ds:datastoreItem>
</file>

<file path=customXml/itemProps3.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 ds:uri="6b984e09-b2b6-452a-98a2-d08ae04abcca"/>
    <ds:schemaRef ds:uri="0981f7db-982f-4d1d-97f0-5f57328573cd"/>
  </ds:schemaRefs>
</ds:datastoreItem>
</file>

<file path=customXml/itemProps4.xml><?xml version="1.0" encoding="utf-8"?>
<ds:datastoreItem xmlns:ds="http://schemas.openxmlformats.org/officeDocument/2006/customXml" ds:itemID="{D7FAAE95-9E09-45B2-A57B-72C2C83BC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3170</Words>
  <Characters>17975</Characters>
  <Application>Microsoft Office Word</Application>
  <DocSecurity>0</DocSecurity>
  <Lines>1123</Lines>
  <Paragraphs>660</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S. Gosal</cp:lastModifiedBy>
  <cp:revision>4</cp:revision>
  <cp:lastPrinted>2026-02-26T12:47:00Z</cp:lastPrinted>
  <dcterms:created xsi:type="dcterms:W3CDTF">2025-08-12T17:43:00Z</dcterms:created>
  <dcterms:modified xsi:type="dcterms:W3CDTF">2026-02-26T13:26:00Z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0x0101003508155943B21549AD729C56FDF19275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