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0669" w14:textId="5DEAD75D" w:rsidR="000F50CF" w:rsidRDefault="000F50CF" w:rsidP="000F50C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r>
        <w:t xml:space="preserve">     </w:t>
      </w:r>
      <w:r>
        <w:rPr>
          <w:noProof/>
        </w:rPr>
        <w:drawing>
          <wp:inline distT="0" distB="0" distL="0" distR="0" wp14:anchorId="0D2CA759" wp14:editId="5B0E083F">
            <wp:extent cx="989965" cy="904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with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4802" cy="918437"/>
                    </a:xfrm>
                    <a:prstGeom prst="rect">
                      <a:avLst/>
                    </a:prstGeom>
                  </pic:spPr>
                </pic:pic>
              </a:graphicData>
            </a:graphic>
          </wp:inline>
        </w:drawing>
      </w:r>
    </w:p>
    <w:p w14:paraId="7239E3C0" w14:textId="3AF7BCC5" w:rsidR="000F50CF" w:rsidRDefault="000F50CF" w:rsidP="000F50CF">
      <w:pPr>
        <w:pStyle w:val="Heading2"/>
        <w:rPr>
          <w:b w:val="0"/>
          <w:bCs/>
          <w:color w:val="auto"/>
          <w:sz w:val="24"/>
          <w:szCs w:val="24"/>
        </w:rPr>
      </w:pPr>
      <w:r>
        <w:rPr>
          <w:b w:val="0"/>
          <w:bCs/>
          <w:color w:val="auto"/>
          <w:sz w:val="24"/>
          <w:szCs w:val="24"/>
        </w:rPr>
        <w:t>This statement details our school’s use of pupil premium (and recovery premium for the 202</w:t>
      </w:r>
      <w:r w:rsidR="00C60022">
        <w:rPr>
          <w:b w:val="0"/>
          <w:bCs/>
          <w:color w:val="auto"/>
          <w:sz w:val="24"/>
          <w:szCs w:val="24"/>
        </w:rPr>
        <w:t>2</w:t>
      </w:r>
      <w:r>
        <w:rPr>
          <w:b w:val="0"/>
          <w:bCs/>
          <w:color w:val="auto"/>
          <w:sz w:val="24"/>
          <w:szCs w:val="24"/>
        </w:rPr>
        <w:t xml:space="preserve"> to 202</w:t>
      </w:r>
      <w:r w:rsidR="00C60022">
        <w:rPr>
          <w:b w:val="0"/>
          <w:bCs/>
          <w:color w:val="auto"/>
          <w:sz w:val="24"/>
          <w:szCs w:val="24"/>
        </w:rPr>
        <w:t>3</w:t>
      </w:r>
      <w:r>
        <w:rPr>
          <w:b w:val="0"/>
          <w:bCs/>
          <w:color w:val="auto"/>
          <w:sz w:val="24"/>
          <w:szCs w:val="24"/>
        </w:rPr>
        <w:t xml:space="preserve"> academic year) funding to help improve the attainment of our disadvantaged pupils. </w:t>
      </w:r>
    </w:p>
    <w:p w14:paraId="31E33576" w14:textId="77777777" w:rsidR="000F50CF" w:rsidRDefault="000F50CF" w:rsidP="000F50CF">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7486BB51" w14:textId="77777777" w:rsidR="000F50CF" w:rsidRDefault="000F50CF" w:rsidP="000F50CF">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0F50CF" w14:paraId="2D5D2D06"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FCD0F41" w14:textId="77777777" w:rsidR="000F50CF" w:rsidRDefault="000F50CF" w:rsidP="000028FA">
            <w:pPr>
              <w:pStyle w:val="TableHeader"/>
              <w:jc w:val="left"/>
            </w:pPr>
            <w: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8CF2222" w14:textId="77777777" w:rsidR="000F50CF" w:rsidRDefault="000F50CF" w:rsidP="000028FA">
            <w:pPr>
              <w:pStyle w:val="TableHeader"/>
              <w:jc w:val="left"/>
            </w:pPr>
            <w:r>
              <w:t>Data</w:t>
            </w:r>
          </w:p>
        </w:tc>
      </w:tr>
      <w:tr w:rsidR="000F50CF" w:rsidRPr="00E27862" w14:paraId="58E6AC35"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4FB45" w14:textId="77777777" w:rsidR="000F50CF" w:rsidRPr="00E27862" w:rsidRDefault="000F50CF" w:rsidP="000028FA">
            <w:pPr>
              <w:pStyle w:val="TableRow"/>
              <w:rPr>
                <w:color w:val="auto"/>
              </w:rPr>
            </w:pPr>
            <w:r w:rsidRPr="00E27862">
              <w:rPr>
                <w:color w:val="auto"/>
              </w:rPr>
              <w:t>School name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79D4" w14:textId="77777777" w:rsidR="000F50CF" w:rsidRPr="00E27862" w:rsidRDefault="000F50CF" w:rsidP="000028FA">
            <w:pPr>
              <w:pStyle w:val="TableRow"/>
              <w:ind w:left="0"/>
              <w:rPr>
                <w:color w:val="auto"/>
              </w:rPr>
            </w:pPr>
            <w:r w:rsidRPr="13C92CED">
              <w:rPr>
                <w:color w:val="auto"/>
              </w:rPr>
              <w:t>World’s End Junior School</w:t>
            </w:r>
          </w:p>
        </w:tc>
      </w:tr>
      <w:tr w:rsidR="000F50CF" w:rsidRPr="00E27862" w14:paraId="079408C8"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94034" w14:textId="77777777" w:rsidR="000F50CF" w:rsidRPr="00E27862" w:rsidRDefault="000F50CF" w:rsidP="000028FA">
            <w:pPr>
              <w:pStyle w:val="TableRow"/>
              <w:rPr>
                <w:color w:val="auto"/>
              </w:rPr>
            </w:pPr>
            <w:r w:rsidRPr="00E27862">
              <w:rPr>
                <w:color w:val="auto"/>
              </w:rPr>
              <w:t xml:space="preserve">Number of pupils in school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0C149" w14:textId="46FFB3DB" w:rsidR="000F50CF" w:rsidRPr="00E27862" w:rsidRDefault="000F50CF" w:rsidP="000028FA">
            <w:pPr>
              <w:pStyle w:val="TableRow"/>
              <w:rPr>
                <w:color w:val="auto"/>
              </w:rPr>
            </w:pPr>
            <w:r w:rsidRPr="61C2FAD1">
              <w:rPr>
                <w:color w:val="auto"/>
              </w:rPr>
              <w:t>3</w:t>
            </w:r>
            <w:r w:rsidR="34A636BA" w:rsidRPr="61C2FAD1">
              <w:rPr>
                <w:color w:val="auto"/>
              </w:rPr>
              <w:t>5</w:t>
            </w:r>
            <w:r w:rsidR="00712D69">
              <w:rPr>
                <w:color w:val="auto"/>
              </w:rPr>
              <w:t>5</w:t>
            </w:r>
          </w:p>
        </w:tc>
      </w:tr>
      <w:tr w:rsidR="000F50CF" w:rsidRPr="00E27862" w14:paraId="36DEC4B9"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18C7D" w14:textId="77777777" w:rsidR="000F50CF" w:rsidRPr="00E27862" w:rsidRDefault="000F50CF" w:rsidP="000028FA">
            <w:pPr>
              <w:pStyle w:val="TableRow"/>
              <w:rPr>
                <w:color w:val="auto"/>
              </w:rPr>
            </w:pPr>
            <w:r w:rsidRPr="00E27862">
              <w:rPr>
                <w:color w:val="auto"/>
              </w:rPr>
              <w:t>Proportion (%) of pupil premium eligible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77B38" w14:textId="726F8831" w:rsidR="000F50CF" w:rsidRPr="00E27862" w:rsidRDefault="000F50CF" w:rsidP="000028FA">
            <w:pPr>
              <w:pStyle w:val="TableRow"/>
              <w:rPr>
                <w:color w:val="auto"/>
              </w:rPr>
            </w:pPr>
            <w:r w:rsidRPr="6C5195E4">
              <w:rPr>
                <w:color w:val="auto"/>
              </w:rPr>
              <w:t>4</w:t>
            </w:r>
            <w:r w:rsidR="4902AFFB" w:rsidRPr="6C5195E4">
              <w:rPr>
                <w:color w:val="auto"/>
              </w:rPr>
              <w:t>8</w:t>
            </w:r>
            <w:r w:rsidRPr="6C5195E4">
              <w:rPr>
                <w:color w:val="auto"/>
              </w:rPr>
              <w:t>%</w:t>
            </w:r>
          </w:p>
        </w:tc>
      </w:tr>
      <w:tr w:rsidR="000F50CF" w:rsidRPr="00E27862" w14:paraId="064C8C40"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DBB96" w14:textId="243C6CBB" w:rsidR="000F50CF" w:rsidRPr="00E27862" w:rsidRDefault="000F50CF" w:rsidP="000028FA">
            <w:pPr>
              <w:pStyle w:val="TableRow"/>
              <w:rPr>
                <w:b/>
                <w:bCs/>
                <w:color w:val="auto"/>
              </w:rPr>
            </w:pPr>
            <w:r w:rsidRPr="13C92CED">
              <w:rPr>
                <w:color w:val="auto"/>
              </w:rPr>
              <w:t>Academic year</w:t>
            </w:r>
            <w:r>
              <w:rPr>
                <w:color w:val="auto"/>
              </w:rPr>
              <w:t xml:space="preserve"> that our current pupil premium strategy plan covers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AE052" w14:textId="11115546" w:rsidR="000F50CF" w:rsidRPr="00E27862" w:rsidRDefault="000F50CF" w:rsidP="00066A04">
            <w:pPr>
              <w:pStyle w:val="TableRow"/>
              <w:rPr>
                <w:color w:val="auto"/>
              </w:rPr>
            </w:pPr>
            <w:r w:rsidRPr="13C92CED">
              <w:rPr>
                <w:color w:val="auto"/>
              </w:rPr>
              <w:t>202</w:t>
            </w:r>
            <w:r w:rsidR="00C60022">
              <w:rPr>
                <w:color w:val="auto"/>
              </w:rPr>
              <w:t>2</w:t>
            </w:r>
            <w:r w:rsidRPr="13C92CED">
              <w:rPr>
                <w:color w:val="auto"/>
              </w:rPr>
              <w:t>/202</w:t>
            </w:r>
            <w:r w:rsidR="00C60022">
              <w:rPr>
                <w:color w:val="auto"/>
              </w:rPr>
              <w:t>3</w:t>
            </w:r>
            <w:r w:rsidRPr="13C92CED">
              <w:rPr>
                <w:color w:val="auto"/>
              </w:rPr>
              <w:t xml:space="preserve"> </w:t>
            </w:r>
          </w:p>
        </w:tc>
      </w:tr>
      <w:tr w:rsidR="000F50CF" w:rsidRPr="00E27862" w14:paraId="417C9D10"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D1A4A" w14:textId="77777777" w:rsidR="000F50CF" w:rsidRPr="00E27862" w:rsidRDefault="000F50CF" w:rsidP="000028FA">
            <w:pPr>
              <w:pStyle w:val="TableRow"/>
              <w:rPr>
                <w:color w:val="auto"/>
              </w:rPr>
            </w:pPr>
            <w:r w:rsidRPr="00E27862">
              <w:rPr>
                <w:color w:val="auto"/>
                <w:szCs w:val="22"/>
              </w:rPr>
              <w:t>Date this statement was published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654B6" w14:textId="015ADFFC" w:rsidR="000F50CF" w:rsidRPr="00E27862" w:rsidRDefault="000F50CF" w:rsidP="000028FA">
            <w:pPr>
              <w:pStyle w:val="TableRow"/>
              <w:rPr>
                <w:color w:val="auto"/>
              </w:rPr>
            </w:pPr>
            <w:r w:rsidRPr="00E27862">
              <w:rPr>
                <w:color w:val="auto"/>
              </w:rPr>
              <w:t>December 202</w:t>
            </w:r>
            <w:r w:rsidR="00C60022">
              <w:rPr>
                <w:color w:val="auto"/>
              </w:rPr>
              <w:t>2</w:t>
            </w:r>
          </w:p>
        </w:tc>
      </w:tr>
      <w:tr w:rsidR="000F50CF" w:rsidRPr="00E27862" w14:paraId="6D3604BA"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24B92" w14:textId="77777777" w:rsidR="000F50CF" w:rsidRPr="00E27862" w:rsidRDefault="000F50CF" w:rsidP="000028FA">
            <w:pPr>
              <w:pStyle w:val="TableRow"/>
              <w:rPr>
                <w:color w:val="auto"/>
              </w:rPr>
            </w:pPr>
            <w:r w:rsidRPr="00E27862">
              <w:rPr>
                <w:color w:val="auto"/>
                <w:szCs w:val="22"/>
              </w:rPr>
              <w:t>Date on which it will be reviewed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A1B4C" w14:textId="7F4309CB" w:rsidR="000F50CF" w:rsidRPr="00E27862" w:rsidRDefault="000F50CF" w:rsidP="000028FA">
            <w:pPr>
              <w:pStyle w:val="TableRow"/>
              <w:rPr>
                <w:color w:val="auto"/>
              </w:rPr>
            </w:pPr>
            <w:r w:rsidRPr="00E27862">
              <w:rPr>
                <w:color w:val="auto"/>
              </w:rPr>
              <w:t>July 202</w:t>
            </w:r>
            <w:r w:rsidR="00C60022">
              <w:rPr>
                <w:color w:val="auto"/>
              </w:rPr>
              <w:t>3</w:t>
            </w:r>
          </w:p>
        </w:tc>
      </w:tr>
      <w:tr w:rsidR="000F50CF" w:rsidRPr="00E27862" w14:paraId="050CECD6"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056C5" w14:textId="77777777" w:rsidR="000F50CF" w:rsidRPr="00E27862" w:rsidRDefault="000F50CF" w:rsidP="000028FA">
            <w:pPr>
              <w:pStyle w:val="TableRow"/>
              <w:rPr>
                <w:color w:val="auto"/>
              </w:rPr>
            </w:pPr>
            <w:r w:rsidRPr="00E27862">
              <w:rPr>
                <w:color w:val="auto"/>
              </w:rPr>
              <w:t>Statement authorised by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D9F81" w14:textId="77777777" w:rsidR="000F50CF" w:rsidRPr="00E27862" w:rsidRDefault="000F50CF" w:rsidP="000028FA">
            <w:pPr>
              <w:pStyle w:val="TableRow"/>
              <w:rPr>
                <w:color w:val="auto"/>
              </w:rPr>
            </w:pPr>
            <w:r w:rsidRPr="13C92CED">
              <w:rPr>
                <w:color w:val="auto"/>
              </w:rPr>
              <w:t>Allison Owens, Headteacher</w:t>
            </w:r>
          </w:p>
        </w:tc>
      </w:tr>
      <w:tr w:rsidR="000F50CF" w:rsidRPr="00E27862" w14:paraId="36CE5FAB"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68078" w14:textId="77777777" w:rsidR="000F50CF" w:rsidRPr="00E27862" w:rsidRDefault="000F50CF" w:rsidP="000028FA">
            <w:pPr>
              <w:pStyle w:val="TableRow"/>
              <w:rPr>
                <w:color w:val="auto"/>
              </w:rPr>
            </w:pPr>
            <w:r w:rsidRPr="00E27862">
              <w:rPr>
                <w:color w:val="auto"/>
              </w:rPr>
              <w:t>Pupil premium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B544F" w14:textId="77777777" w:rsidR="000F50CF" w:rsidRPr="00E27862" w:rsidRDefault="000F50CF" w:rsidP="000028FA">
            <w:pPr>
              <w:pStyle w:val="TableRow"/>
              <w:rPr>
                <w:color w:val="auto"/>
              </w:rPr>
            </w:pPr>
            <w:r w:rsidRPr="13C92CED">
              <w:rPr>
                <w:color w:val="auto"/>
              </w:rPr>
              <w:t>Claire Craddock,</w:t>
            </w:r>
          </w:p>
          <w:p w14:paraId="5D3E36EF" w14:textId="77777777" w:rsidR="000F50CF" w:rsidRPr="00E27862" w:rsidRDefault="000F50CF" w:rsidP="000028FA">
            <w:pPr>
              <w:pStyle w:val="TableRow"/>
              <w:rPr>
                <w:color w:val="auto"/>
              </w:rPr>
            </w:pPr>
            <w:r w:rsidRPr="00E27862">
              <w:rPr>
                <w:color w:val="auto"/>
                <w:szCs w:val="28"/>
              </w:rPr>
              <w:t>Deputy Headteacher</w:t>
            </w:r>
          </w:p>
        </w:tc>
      </w:tr>
      <w:tr w:rsidR="000F50CF" w:rsidRPr="00E27862" w14:paraId="619BA52B" w14:textId="77777777" w:rsidTr="6C5195E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8EBBA" w14:textId="77777777" w:rsidR="000F50CF" w:rsidRPr="00E27862" w:rsidRDefault="000F50CF" w:rsidP="000028FA">
            <w:pPr>
              <w:pStyle w:val="TableRow"/>
              <w:rPr>
                <w:color w:val="auto"/>
              </w:rPr>
            </w:pPr>
            <w:r w:rsidRPr="13C92CED">
              <w:rPr>
                <w:color w:val="auto"/>
              </w:rPr>
              <w:t xml:space="preserve">Governor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818C8" w14:textId="64BB3306" w:rsidR="000F50CF" w:rsidRPr="00E27862" w:rsidRDefault="00DA2477" w:rsidP="000028FA">
            <w:pPr>
              <w:pStyle w:val="TableRow"/>
              <w:rPr>
                <w:color w:val="auto"/>
              </w:rPr>
            </w:pPr>
            <w:r>
              <w:rPr>
                <w:color w:val="auto"/>
              </w:rPr>
              <w:t>Sam Calder-Terry</w:t>
            </w:r>
            <w:bookmarkStart w:id="14" w:name="_GoBack"/>
            <w:bookmarkEnd w:id="14"/>
            <w:r w:rsidR="000F50CF" w:rsidRPr="2F6B47BC">
              <w:rPr>
                <w:color w:val="auto"/>
              </w:rPr>
              <w:t>, lead for disadvantaged pupils</w:t>
            </w:r>
          </w:p>
        </w:tc>
      </w:tr>
    </w:tbl>
    <w:p w14:paraId="2B1C4DD8" w14:textId="77777777" w:rsidR="000F50CF" w:rsidRPr="00E27862" w:rsidRDefault="000F50CF" w:rsidP="000F50CF">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0F50CF" w:rsidRPr="00E27862" w14:paraId="17614906" w14:textId="77777777" w:rsidTr="61C2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77E32E88" w14:textId="77777777" w:rsidR="000F50CF" w:rsidRPr="00E27862" w:rsidRDefault="000F50CF" w:rsidP="000028FA">
            <w:pPr>
              <w:pStyle w:val="TableRow"/>
              <w:rPr>
                <w:color w:val="auto"/>
              </w:rPr>
            </w:pPr>
            <w:r w:rsidRPr="00E27862">
              <w:rPr>
                <w:b/>
                <w:color w:val="auto"/>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617D1A28" w14:textId="77777777" w:rsidR="000F50CF" w:rsidRPr="00E27862" w:rsidRDefault="000F50CF" w:rsidP="000028FA">
            <w:pPr>
              <w:pStyle w:val="TableRow"/>
              <w:rPr>
                <w:color w:val="auto"/>
              </w:rPr>
            </w:pPr>
            <w:r w:rsidRPr="00E27862">
              <w:rPr>
                <w:b/>
                <w:color w:val="auto"/>
              </w:rPr>
              <w:t>Amount</w:t>
            </w:r>
          </w:p>
        </w:tc>
      </w:tr>
      <w:tr w:rsidR="000F50CF" w:rsidRPr="00E27862" w14:paraId="521D43CE" w14:textId="77777777" w:rsidTr="61C2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3B3284" w14:textId="77777777" w:rsidR="000F50CF" w:rsidRPr="00E27862" w:rsidRDefault="000F50CF" w:rsidP="000028FA">
            <w:pPr>
              <w:pStyle w:val="TableRow"/>
              <w:rPr>
                <w:color w:val="auto"/>
              </w:rPr>
            </w:pPr>
            <w:r w:rsidRPr="00E27862">
              <w:rPr>
                <w:color w:val="auto"/>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DA26F" w14:textId="77777777" w:rsidR="000F50CF" w:rsidRPr="00C60022" w:rsidRDefault="000F50CF" w:rsidP="61C2FAD1">
            <w:pPr>
              <w:pStyle w:val="TableRow"/>
              <w:rPr>
                <w:color w:val="auto"/>
              </w:rPr>
            </w:pPr>
            <w:r w:rsidRPr="61C2FAD1">
              <w:rPr>
                <w:color w:val="auto"/>
              </w:rPr>
              <w:t>£223,270</w:t>
            </w:r>
          </w:p>
        </w:tc>
      </w:tr>
      <w:tr w:rsidR="000F50CF" w:rsidRPr="00E27862" w14:paraId="30A5F8BE" w14:textId="77777777" w:rsidTr="61C2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F1A9D" w14:textId="77777777" w:rsidR="000F50CF" w:rsidRPr="00E27862" w:rsidRDefault="000F50CF" w:rsidP="000028FA">
            <w:pPr>
              <w:pStyle w:val="TableRow"/>
              <w:rPr>
                <w:color w:val="auto"/>
              </w:rPr>
            </w:pPr>
            <w:r w:rsidRPr="00E27862">
              <w:rPr>
                <w:color w:val="auto"/>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CDEA4" w14:textId="77777777" w:rsidR="000F50CF" w:rsidRPr="00C60022" w:rsidRDefault="000F50CF" w:rsidP="61C2FAD1">
            <w:pPr>
              <w:pStyle w:val="TableRow"/>
              <w:rPr>
                <w:color w:val="auto"/>
              </w:rPr>
            </w:pPr>
            <w:r w:rsidRPr="61C2FAD1">
              <w:rPr>
                <w:color w:val="auto"/>
              </w:rPr>
              <w:t>£24,203</w:t>
            </w:r>
          </w:p>
        </w:tc>
      </w:tr>
      <w:tr w:rsidR="000F50CF" w:rsidRPr="00E27862" w14:paraId="77A8AC81" w14:textId="77777777" w:rsidTr="61C2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446F95" w14:textId="08BCF636" w:rsidR="000F50CF" w:rsidRPr="00E27862" w:rsidRDefault="000F50CF" w:rsidP="000028FA">
            <w:pPr>
              <w:pStyle w:val="TableRow"/>
              <w:rPr>
                <w:color w:val="auto"/>
              </w:rPr>
            </w:pPr>
            <w:r w:rsidRPr="682B01D0">
              <w:rPr>
                <w:color w:val="auto"/>
              </w:rPr>
              <w:t>Pupil premium funding carried forward from previous years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989CF" w14:textId="1F617E59" w:rsidR="000F50CF" w:rsidRPr="00C60022" w:rsidRDefault="4E1CED66" w:rsidP="61C2FAD1">
            <w:pPr>
              <w:pStyle w:val="TableRow"/>
              <w:rPr>
                <w:color w:val="auto"/>
              </w:rPr>
            </w:pPr>
            <w:r w:rsidRPr="61C2FAD1">
              <w:rPr>
                <w:color w:val="auto"/>
              </w:rPr>
              <w:t>Nil</w:t>
            </w:r>
          </w:p>
        </w:tc>
      </w:tr>
      <w:tr w:rsidR="000F50CF" w:rsidRPr="00E27862" w14:paraId="7C87BB72" w14:textId="77777777" w:rsidTr="61C2FAD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EB6B1" w14:textId="77777777" w:rsidR="000F50CF" w:rsidRPr="00E27862" w:rsidRDefault="000F50CF" w:rsidP="000028FA">
            <w:pPr>
              <w:pStyle w:val="TableRow"/>
              <w:rPr>
                <w:b/>
                <w:color w:val="auto"/>
              </w:rPr>
            </w:pPr>
            <w:r w:rsidRPr="00E27862">
              <w:rPr>
                <w:b/>
                <w:color w:val="auto"/>
              </w:rPr>
              <w:t>Total budget for this academic year</w:t>
            </w:r>
          </w:p>
          <w:p w14:paraId="0CE37873" w14:textId="445F3413" w:rsidR="000F50CF" w:rsidRPr="00E27862" w:rsidRDefault="000F50CF" w:rsidP="000028FA">
            <w:pPr>
              <w:pStyle w:val="TableRow"/>
              <w:rPr>
                <w:color w:val="auto"/>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08695" w14:textId="16A173F9" w:rsidR="000F50CF" w:rsidRPr="00C60022" w:rsidRDefault="000F50CF" w:rsidP="61C2FAD1">
            <w:pPr>
              <w:pStyle w:val="TableRow"/>
              <w:rPr>
                <w:color w:val="auto"/>
              </w:rPr>
            </w:pPr>
            <w:r w:rsidRPr="61C2FAD1">
              <w:rPr>
                <w:color w:val="auto"/>
              </w:rPr>
              <w:t>£24</w:t>
            </w:r>
            <w:r w:rsidR="24FEE201" w:rsidRPr="61C2FAD1">
              <w:rPr>
                <w:color w:val="auto"/>
              </w:rPr>
              <w:t>7,473</w:t>
            </w:r>
          </w:p>
        </w:tc>
      </w:tr>
    </w:tbl>
    <w:p w14:paraId="7E2F02E4" w14:textId="77777777" w:rsidR="000F50CF" w:rsidRDefault="000F50CF" w:rsidP="000F50CF">
      <w:pPr>
        <w:pStyle w:val="Heading1"/>
      </w:pPr>
      <w:r>
        <w:lastRenderedPageBreak/>
        <w:t>Part A: Pupil premium strategy plan</w:t>
      </w:r>
    </w:p>
    <w:p w14:paraId="6C8ED60B" w14:textId="77777777" w:rsidR="000F50CF" w:rsidRDefault="000F50CF" w:rsidP="000F50CF">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0F50CF" w14:paraId="5E4F8965" w14:textId="77777777" w:rsidTr="7FE3225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64F85" w14:textId="77777777" w:rsidR="000F50CF" w:rsidRPr="003A7F0A" w:rsidRDefault="000F50CF" w:rsidP="000028FA">
            <w:pPr>
              <w:spacing w:before="120"/>
              <w:rPr>
                <w:rFonts w:cs="Arial"/>
                <w:iCs/>
                <w:color w:val="auto"/>
                <w:lang w:val="en-US"/>
              </w:rPr>
            </w:pPr>
            <w:r w:rsidRPr="003A7F0A">
              <w:rPr>
                <w:rFonts w:cs="Arial"/>
                <w:iCs/>
                <w:color w:val="auto"/>
              </w:rPr>
              <w:t>All pupils are entitled to the very best curriculum and learning opportunities, whatever their starting point. We aim to ensure that all pupils, irrespective of their background or any barriers they may face, make good progress and achieve high attainment across all subject areas. O</w:t>
            </w:r>
            <w:proofErr w:type="spellStart"/>
            <w:r w:rsidRPr="003A7F0A">
              <w:rPr>
                <w:rFonts w:cs="Arial"/>
                <w:iCs/>
                <w:color w:val="auto"/>
                <w:lang w:val="en-US"/>
              </w:rPr>
              <w:t>ur</w:t>
            </w:r>
            <w:proofErr w:type="spellEnd"/>
            <w:r w:rsidRPr="003A7F0A">
              <w:rPr>
                <w:rFonts w:cs="Arial"/>
                <w:iCs/>
                <w:color w:val="auto"/>
                <w:lang w:val="en-US"/>
              </w:rPr>
              <w:t xml:space="preserve"> pupil premium strategy is to support disadvantaged pupils to achieve that goal, including those who are already high attainers. </w:t>
            </w:r>
          </w:p>
          <w:p w14:paraId="73156DF7" w14:textId="77777777" w:rsidR="000F50CF" w:rsidRPr="003A7F0A" w:rsidRDefault="000F50CF" w:rsidP="000028FA">
            <w:pPr>
              <w:spacing w:before="120"/>
              <w:rPr>
                <w:rFonts w:cs="Arial"/>
                <w:iCs/>
                <w:color w:val="auto"/>
              </w:rPr>
            </w:pPr>
            <w:r w:rsidRPr="003A7F0A">
              <w:rPr>
                <w:rFonts w:cs="Arial"/>
                <w:iCs/>
                <w:color w:val="auto"/>
                <w:lang w:val="en-US"/>
              </w:rPr>
              <w:t>A key focus of our strategy is to consider the challenges faced by vulnerable pupils and to support their needs, regardless of whether they are disadvantaged or not.</w:t>
            </w:r>
          </w:p>
          <w:p w14:paraId="182895F8" w14:textId="77777777" w:rsidR="000F50CF" w:rsidRPr="003A7F0A" w:rsidRDefault="000F50CF" w:rsidP="000028FA">
            <w:pPr>
              <w:rPr>
                <w:rFonts w:cs="Arial"/>
                <w:iCs/>
                <w:color w:val="auto"/>
                <w:lang w:val="en-US"/>
              </w:rPr>
            </w:pPr>
            <w:r w:rsidRPr="003A7F0A">
              <w:rPr>
                <w:rFonts w:cs="Arial"/>
                <w:iCs/>
                <w:color w:val="auto"/>
                <w:lang w:val="en-US"/>
              </w:rPr>
              <w:t>Our core approach is on High-quality teaching, with a focus on areas in which disadvantaged pupils require the most support. Research shows that not only does this have the greatest impact on closing the disadvantage attainment gap, it also benefits all pupils.</w:t>
            </w:r>
          </w:p>
          <w:p w14:paraId="680DFAAC" w14:textId="77777777" w:rsidR="000F50CF" w:rsidRPr="00FA3726" w:rsidRDefault="000F50CF" w:rsidP="000028FA">
            <w:pPr>
              <w:rPr>
                <w:iCs/>
              </w:rPr>
            </w:pPr>
            <w:r w:rsidRPr="00FA3726">
              <w:rPr>
                <w:iCs/>
              </w:rPr>
              <w:t>We also ensure they have the very best resources and enrichment opportunities, through visits to places of interest and participation in community events. Pupil Premium and Recovery Premium spending is reviewed in an ongoing way as each year progresses in light of regular evaluations. Future priorities are made in response to new research as well as the school’s self-evaluation processes.</w:t>
            </w:r>
          </w:p>
          <w:p w14:paraId="7B567F6F" w14:textId="2C7C533E" w:rsidR="000F50CF" w:rsidRPr="00FA3726" w:rsidRDefault="000F50CF" w:rsidP="000028FA">
            <w:r>
              <w:t>We have a clear, strategic approach to the use of specific Pupil Premium and Recovery Premium funding and plans are integrated into wider school support and improvement systems. These are monitored and evaluated regularly and in-depth data analysis ensures that the correct support and strategies are identified to maximise progress.</w:t>
            </w:r>
          </w:p>
          <w:p w14:paraId="4063B531" w14:textId="77777777" w:rsidR="000F50CF" w:rsidRPr="00FA3726" w:rsidRDefault="000F50CF" w:rsidP="000028FA">
            <w:pPr>
              <w:rPr>
                <w:iCs/>
              </w:rPr>
            </w:pPr>
            <w:r w:rsidRPr="00FA3726">
              <w:rPr>
                <w:iCs/>
              </w:rPr>
              <w:t xml:space="preserve">Strong leadership systems ensure that Pupil Premium and Recovery Premium funding has the necessary impact. This includes, an identified governor having responsibility for Pupil Premium and Recovery Premium and a coordinated senior leadership approach to implementing plans. </w:t>
            </w:r>
          </w:p>
          <w:p w14:paraId="4C2AF9FB" w14:textId="77777777" w:rsidR="000F50CF" w:rsidRPr="00C4483A" w:rsidRDefault="000F50CF" w:rsidP="000028FA">
            <w:pPr>
              <w:rPr>
                <w:b/>
                <w:iCs/>
                <w:sz w:val="32"/>
                <w:szCs w:val="32"/>
              </w:rPr>
            </w:pPr>
            <w:r w:rsidRPr="00C4483A">
              <w:rPr>
                <w:b/>
                <w:iCs/>
                <w:sz w:val="32"/>
                <w:szCs w:val="32"/>
              </w:rPr>
              <w:t>Recovery Premium Priorities:</w:t>
            </w:r>
          </w:p>
          <w:p w14:paraId="27C50294" w14:textId="77777777" w:rsidR="000F50CF" w:rsidRPr="00FA3726" w:rsidRDefault="000F50CF" w:rsidP="000028FA">
            <w:pPr>
              <w:numPr>
                <w:ilvl w:val="0"/>
                <w:numId w:val="32"/>
              </w:numPr>
              <w:suppressAutoHyphens w:val="0"/>
              <w:autoSpaceDN/>
              <w:spacing w:after="160" w:line="259" w:lineRule="auto"/>
              <w:rPr>
                <w:iCs/>
              </w:rPr>
            </w:pPr>
            <w:r w:rsidRPr="00FA3726">
              <w:rPr>
                <w:iCs/>
              </w:rPr>
              <w:t>Ensure teachers and staff are confident and have the necessary tools to support children’s catch up through high-quality learning, teaching and assessment;</w:t>
            </w:r>
          </w:p>
          <w:p w14:paraId="4C00ACED" w14:textId="77777777" w:rsidR="000F50CF" w:rsidRPr="00FA3726" w:rsidRDefault="000F50CF" w:rsidP="000028FA">
            <w:pPr>
              <w:numPr>
                <w:ilvl w:val="0"/>
                <w:numId w:val="32"/>
              </w:numPr>
              <w:suppressAutoHyphens w:val="0"/>
              <w:autoSpaceDN/>
              <w:spacing w:after="160" w:line="259" w:lineRule="auto"/>
              <w:rPr>
                <w:iCs/>
              </w:rPr>
            </w:pPr>
            <w:r w:rsidRPr="00FA3726">
              <w:rPr>
                <w:iCs/>
              </w:rPr>
              <w:t>Ensure that gaps/missed knowledge and misconceptions are addressed through the curriculum and basic skills approach;</w:t>
            </w:r>
          </w:p>
          <w:p w14:paraId="2716D4C0" w14:textId="77777777" w:rsidR="000F50CF" w:rsidRPr="00FA3726" w:rsidRDefault="000F50CF" w:rsidP="000028FA">
            <w:pPr>
              <w:numPr>
                <w:ilvl w:val="0"/>
                <w:numId w:val="32"/>
              </w:numPr>
              <w:suppressAutoHyphens w:val="0"/>
              <w:autoSpaceDN/>
              <w:spacing w:after="160" w:line="259" w:lineRule="auto"/>
              <w:rPr>
                <w:iCs/>
              </w:rPr>
            </w:pPr>
            <w:r w:rsidRPr="00FA3726">
              <w:rPr>
                <w:iCs/>
              </w:rPr>
              <w:t>Ensure that the welfare and well-being of the children, staff and local community is at the forefront of our integration back into school;</w:t>
            </w:r>
          </w:p>
          <w:p w14:paraId="31ECA3AA" w14:textId="77777777" w:rsidR="000F50CF" w:rsidRPr="005153B8" w:rsidRDefault="000F50CF" w:rsidP="005153B8">
            <w:pPr>
              <w:pStyle w:val="ListParagraph"/>
              <w:numPr>
                <w:ilvl w:val="0"/>
                <w:numId w:val="32"/>
              </w:numPr>
              <w:rPr>
                <w:iCs/>
                <w:color w:val="FF0000"/>
                <w:lang w:val="en-US"/>
              </w:rPr>
            </w:pPr>
            <w:r w:rsidRPr="005153B8">
              <w:rPr>
                <w:iCs/>
              </w:rPr>
              <w:lastRenderedPageBreak/>
              <w:t>Continue with the work around family engagement to support both parents and children.</w:t>
            </w:r>
          </w:p>
        </w:tc>
      </w:tr>
    </w:tbl>
    <w:p w14:paraId="2C56E353" w14:textId="77777777" w:rsidR="000F50CF" w:rsidRDefault="000F50CF" w:rsidP="000F50CF">
      <w:pPr>
        <w:pStyle w:val="Heading2"/>
        <w:spacing w:before="600"/>
      </w:pPr>
      <w:r>
        <w:lastRenderedPageBreak/>
        <w:t>Challenges</w:t>
      </w:r>
    </w:p>
    <w:p w14:paraId="1C5BB5C1" w14:textId="77777777" w:rsidR="000F50CF" w:rsidRDefault="000F50CF" w:rsidP="000F50CF">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0F50CF" w14:paraId="1D617226"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5587559" w14:textId="77777777" w:rsidR="000F50CF" w:rsidRDefault="000F50CF" w:rsidP="000028FA">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D9A8EB5" w14:textId="77777777" w:rsidR="000F50CF" w:rsidRDefault="000F50CF" w:rsidP="000028FA">
            <w:pPr>
              <w:pStyle w:val="TableHeader"/>
              <w:jc w:val="left"/>
            </w:pPr>
            <w:r>
              <w:t xml:space="preserve">Detail of challenge </w:t>
            </w:r>
          </w:p>
        </w:tc>
      </w:tr>
      <w:tr w:rsidR="000F50CF" w14:paraId="0B64A9E3"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4DEB7" w14:textId="77777777" w:rsidR="000F50CF" w:rsidRDefault="000F50CF" w:rsidP="000028FA">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0F430" w14:textId="77777777" w:rsidR="000F50CF" w:rsidRPr="00E27862" w:rsidRDefault="000F50CF" w:rsidP="000028FA">
            <w:pPr>
              <w:suppressAutoHyphens w:val="0"/>
              <w:autoSpaceDN/>
              <w:spacing w:before="60" w:after="120" w:line="240" w:lineRule="auto"/>
              <w:ind w:right="57"/>
              <w:rPr>
                <w:rFonts w:cs="Arial"/>
                <w:iCs/>
                <w:color w:val="auto"/>
                <w:lang w:val="en-US"/>
              </w:rPr>
            </w:pPr>
            <w:r w:rsidRPr="004B1B9A">
              <w:rPr>
                <w:rFonts w:cs="Arial"/>
                <w:iCs/>
                <w:color w:val="auto"/>
                <w:lang w:val="en-US"/>
              </w:rPr>
              <w:t>Our assessments and observations have found that disadvantaged pupils are displaying underdeveloped oral language skills and vocabulary gaps to a greater degree than their peers.</w:t>
            </w:r>
          </w:p>
        </w:tc>
      </w:tr>
      <w:tr w:rsidR="000F50CF" w14:paraId="16229164"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611C7" w14:textId="77777777" w:rsidR="000F50CF" w:rsidRPr="003253F8" w:rsidRDefault="000F50CF" w:rsidP="000028FA">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4CE7E" w14:textId="77777777" w:rsidR="000F50CF" w:rsidRPr="00E27862" w:rsidRDefault="000F50CF" w:rsidP="000028FA">
            <w:pPr>
              <w:suppressAutoHyphens w:val="0"/>
              <w:autoSpaceDN/>
              <w:spacing w:before="60" w:after="120" w:line="240" w:lineRule="auto"/>
              <w:ind w:right="57"/>
              <w:rPr>
                <w:color w:val="auto"/>
                <w:lang w:val="en-US"/>
              </w:rPr>
            </w:pPr>
            <w:r>
              <w:rPr>
                <w:color w:val="auto"/>
                <w:lang w:val="en-US"/>
              </w:rPr>
              <w:t>D</w:t>
            </w:r>
            <w:r w:rsidRPr="00E27862">
              <w:rPr>
                <w:color w:val="auto"/>
                <w:lang w:val="en-US"/>
              </w:rPr>
              <w:t>isadvantaged pupils generally have greater difficulties with phonics than their peer</w:t>
            </w:r>
            <w:r>
              <w:rPr>
                <w:color w:val="auto"/>
                <w:lang w:val="en-US"/>
              </w:rPr>
              <w:t xml:space="preserve">s, which has </w:t>
            </w:r>
            <w:r w:rsidRPr="00E27862">
              <w:rPr>
                <w:color w:val="auto"/>
                <w:lang w:val="en-US"/>
              </w:rPr>
              <w:t>impact</w:t>
            </w:r>
            <w:r>
              <w:rPr>
                <w:color w:val="auto"/>
                <w:lang w:val="en-US"/>
              </w:rPr>
              <w:t>ed</w:t>
            </w:r>
            <w:r w:rsidRPr="00E27862">
              <w:rPr>
                <w:color w:val="auto"/>
                <w:lang w:val="en-US"/>
              </w:rPr>
              <w:t xml:space="preserve"> their development as readers. </w:t>
            </w:r>
          </w:p>
        </w:tc>
      </w:tr>
      <w:tr w:rsidR="000F50CF" w14:paraId="1D1ECB10"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306618" w14:textId="77777777" w:rsidR="000F50CF" w:rsidRPr="00DD41CD" w:rsidRDefault="000F50CF" w:rsidP="000028FA">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98C79" w14:textId="7AA89F03" w:rsidR="000F50CF" w:rsidRPr="00E27862" w:rsidRDefault="000F50CF" w:rsidP="000028FA">
            <w:pPr>
              <w:suppressAutoHyphens w:val="0"/>
              <w:autoSpaceDN/>
              <w:spacing w:before="60" w:after="120" w:line="240" w:lineRule="auto"/>
              <w:ind w:right="57"/>
              <w:rPr>
                <w:iCs/>
                <w:color w:val="auto"/>
                <w:lang w:val="en-US"/>
              </w:rPr>
            </w:pPr>
            <w:r>
              <w:rPr>
                <w:rFonts w:cs="Arial"/>
                <w:iCs/>
                <w:color w:val="auto"/>
                <w:lang w:val="en-US"/>
              </w:rPr>
              <w:t>A</w:t>
            </w:r>
            <w:r w:rsidRPr="00E27862">
              <w:rPr>
                <w:rFonts w:cs="Arial"/>
                <w:iCs/>
                <w:color w:val="auto"/>
                <w:lang w:val="en-US"/>
              </w:rPr>
              <w:t>ssessments indicate</w:t>
            </w:r>
            <w:r w:rsidRPr="00E27862">
              <w:rPr>
                <w:iCs/>
                <w:color w:val="auto"/>
                <w:lang w:val="en-US"/>
              </w:rPr>
              <w:t xml:space="preserve"> that </w:t>
            </w:r>
            <w:proofErr w:type="spellStart"/>
            <w:r w:rsidRPr="00E27862">
              <w:rPr>
                <w:iCs/>
                <w:color w:val="auto"/>
                <w:lang w:val="en-US"/>
              </w:rPr>
              <w:t>maths</w:t>
            </w:r>
            <w:proofErr w:type="spellEnd"/>
            <w:r w:rsidR="004B4453">
              <w:rPr>
                <w:iCs/>
                <w:color w:val="auto"/>
                <w:lang w:val="en-US"/>
              </w:rPr>
              <w:t>, reading and writing</w:t>
            </w:r>
            <w:r w:rsidRPr="00E27862">
              <w:rPr>
                <w:iCs/>
                <w:color w:val="auto"/>
                <w:lang w:val="en-US"/>
              </w:rPr>
              <w:t xml:space="preserve"> attainment among disadvantaged pupils is significantly below that of non-disadvantaged pupils. </w:t>
            </w:r>
          </w:p>
        </w:tc>
      </w:tr>
      <w:tr w:rsidR="0006059C" w14:paraId="5E5B3784"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62CE2" w14:textId="6C6D9F30" w:rsidR="0006059C" w:rsidRDefault="0006059C" w:rsidP="000028FA">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4B331" w14:textId="19ACC921" w:rsidR="0006059C" w:rsidRDefault="704EEADD" w:rsidP="6C5195E4">
            <w:pPr>
              <w:suppressAutoHyphens w:val="0"/>
              <w:autoSpaceDN/>
              <w:spacing w:before="60" w:after="120" w:line="240" w:lineRule="auto"/>
              <w:ind w:right="57"/>
              <w:rPr>
                <w:rFonts w:cs="Arial"/>
                <w:color w:val="auto"/>
                <w:lang w:val="en-US"/>
              </w:rPr>
            </w:pPr>
            <w:r w:rsidRPr="6C5195E4">
              <w:rPr>
                <w:rFonts w:cs="Arial"/>
                <w:color w:val="auto"/>
                <w:lang w:val="en-US"/>
              </w:rPr>
              <w:t>6</w:t>
            </w:r>
            <w:r w:rsidR="69CCECD4" w:rsidRPr="6C5195E4">
              <w:rPr>
                <w:rFonts w:cs="Arial"/>
                <w:color w:val="auto"/>
                <w:lang w:val="en-US"/>
              </w:rPr>
              <w:t>5</w:t>
            </w:r>
            <w:r w:rsidR="562829AC" w:rsidRPr="6C5195E4">
              <w:rPr>
                <w:rFonts w:cs="Arial"/>
                <w:color w:val="auto"/>
                <w:lang w:val="en-US"/>
              </w:rPr>
              <w:t xml:space="preserve">% of SEND pupils are also disadvantaged. There has been a significant increase in the number of SEN referrals during the past </w:t>
            </w:r>
            <w:r w:rsidR="2F70D185" w:rsidRPr="6C5195E4">
              <w:rPr>
                <w:rFonts w:cs="Arial"/>
                <w:color w:val="auto"/>
                <w:lang w:val="en-US"/>
              </w:rPr>
              <w:t>3</w:t>
            </w:r>
            <w:r w:rsidR="562829AC" w:rsidRPr="6C5195E4">
              <w:rPr>
                <w:rFonts w:cs="Arial"/>
                <w:color w:val="auto"/>
                <w:lang w:val="en-US"/>
              </w:rPr>
              <w:t xml:space="preserve"> years.</w:t>
            </w:r>
          </w:p>
        </w:tc>
      </w:tr>
      <w:tr w:rsidR="000F50CF" w14:paraId="7BA70036"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68B83" w14:textId="776EBD04" w:rsidR="000F50CF" w:rsidRPr="003425AF" w:rsidRDefault="0006059C" w:rsidP="000028FA">
            <w:pPr>
              <w:pStyle w:val="TableRow"/>
              <w:rPr>
                <w:sz w:val="22"/>
                <w:szCs w:val="22"/>
              </w:rPr>
            </w:pPr>
            <w:r w:rsidRPr="003425AF">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040EA" w14:textId="457F2A73" w:rsidR="000F50CF" w:rsidRPr="003425AF" w:rsidRDefault="000F50CF" w:rsidP="000028FA">
            <w:pPr>
              <w:suppressAutoHyphens w:val="0"/>
              <w:autoSpaceDN/>
              <w:spacing w:before="60" w:after="120" w:line="240" w:lineRule="auto"/>
              <w:ind w:right="57"/>
              <w:rPr>
                <w:rFonts w:cs="Arial"/>
                <w:color w:val="auto"/>
              </w:rPr>
            </w:pPr>
            <w:r w:rsidRPr="003425AF">
              <w:rPr>
                <w:rFonts w:cs="Arial"/>
                <w:color w:val="auto"/>
              </w:rPr>
              <w:t>Attendance of disadvantaged pupils</w:t>
            </w:r>
            <w:r w:rsidR="003425AF" w:rsidRPr="003425AF">
              <w:rPr>
                <w:rFonts w:cs="Arial"/>
                <w:color w:val="auto"/>
              </w:rPr>
              <w:t xml:space="preserve"> is </w:t>
            </w:r>
            <w:r w:rsidRPr="003425AF">
              <w:rPr>
                <w:rFonts w:cs="Arial"/>
                <w:color w:val="auto"/>
              </w:rPr>
              <w:t xml:space="preserve">lower than </w:t>
            </w:r>
            <w:r w:rsidR="003425AF">
              <w:rPr>
                <w:rFonts w:cs="Arial"/>
                <w:color w:val="auto"/>
              </w:rPr>
              <w:t>that of</w:t>
            </w:r>
            <w:r w:rsidRPr="003425AF">
              <w:rPr>
                <w:rFonts w:cs="Arial"/>
                <w:color w:val="auto"/>
              </w:rPr>
              <w:t xml:space="preserve"> non-disadvantaged pupils</w:t>
            </w:r>
            <w:r w:rsidR="003425AF" w:rsidRPr="003425AF">
              <w:rPr>
                <w:rFonts w:cs="Arial"/>
                <w:color w:val="auto"/>
              </w:rPr>
              <w:t xml:space="preserve"> nationally</w:t>
            </w:r>
            <w:r w:rsidR="003425AF">
              <w:rPr>
                <w:rFonts w:cs="Arial"/>
                <w:color w:val="auto"/>
              </w:rPr>
              <w:t xml:space="preserve"> and the rate of persistent absence of </w:t>
            </w:r>
            <w:r w:rsidRPr="003425AF">
              <w:rPr>
                <w:rFonts w:cs="Arial"/>
                <w:color w:val="auto"/>
              </w:rPr>
              <w:t>disadvantaged pupils</w:t>
            </w:r>
            <w:r w:rsidR="00EE03BB">
              <w:rPr>
                <w:rFonts w:cs="Arial"/>
                <w:color w:val="auto"/>
              </w:rPr>
              <w:t xml:space="preserve"> is significantly higher than that of non-disadvantaged pupils</w:t>
            </w:r>
            <w:r w:rsidRPr="003425AF">
              <w:rPr>
                <w:rFonts w:cs="Arial"/>
                <w:color w:val="auto"/>
              </w:rPr>
              <w:t>. This has had a negative impact on the progress of disadvantaged pupils.</w:t>
            </w:r>
          </w:p>
        </w:tc>
      </w:tr>
      <w:tr w:rsidR="000F50CF" w14:paraId="022A3657"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00217" w14:textId="7B3CFBBF" w:rsidR="000F50CF" w:rsidRPr="00380251" w:rsidRDefault="0006059C" w:rsidP="000028FA">
            <w:pPr>
              <w:pStyle w:val="TableRow"/>
              <w:rPr>
                <w:sz w:val="22"/>
                <w:szCs w:val="22"/>
              </w:rPr>
            </w:pPr>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D0A8A" w14:textId="77777777" w:rsidR="000F50CF" w:rsidRPr="009E071B" w:rsidRDefault="000F50CF" w:rsidP="000028FA">
            <w:pPr>
              <w:suppressAutoHyphens w:val="0"/>
              <w:autoSpaceDN/>
              <w:spacing w:before="60" w:line="240" w:lineRule="auto"/>
              <w:ind w:right="57"/>
              <w:rPr>
                <w:rFonts w:cs="Arial"/>
                <w:iCs/>
                <w:color w:val="auto"/>
                <w:lang w:val="en-US"/>
              </w:rPr>
            </w:pPr>
            <w:r>
              <w:rPr>
                <w:rFonts w:cs="Arial"/>
                <w:iCs/>
                <w:color w:val="auto"/>
                <w:lang w:val="en-US"/>
              </w:rPr>
              <w:t xml:space="preserve">Our disadvantaged pupils have been impacted more severely by </w:t>
            </w:r>
            <w:r w:rsidRPr="00E27862">
              <w:rPr>
                <w:rFonts w:cs="Arial"/>
                <w:iCs/>
                <w:color w:val="auto"/>
                <w:lang w:val="en-US"/>
              </w:rPr>
              <w:t xml:space="preserve">social and emotional issues, </w:t>
            </w:r>
            <w:r>
              <w:rPr>
                <w:rFonts w:cs="Arial"/>
                <w:iCs/>
                <w:color w:val="auto"/>
                <w:lang w:val="en-US"/>
              </w:rPr>
              <w:t>requiring support, nurture, family support and counselling.</w:t>
            </w:r>
          </w:p>
        </w:tc>
      </w:tr>
      <w:tr w:rsidR="000F50CF" w:rsidRPr="00B87E35" w14:paraId="36355DEC"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351CB" w14:textId="34A1C1E1" w:rsidR="000F50CF" w:rsidRDefault="0006059C" w:rsidP="000028FA">
            <w:pPr>
              <w:pStyle w:val="TableRow"/>
              <w:rPr>
                <w:sz w:val="22"/>
                <w:szCs w:val="22"/>
              </w:rPr>
            </w:pPr>
            <w:bookmarkStart w:id="17" w:name="_Toc443397160"/>
            <w:r>
              <w:rPr>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59656" w14:textId="77777777" w:rsidR="000F50CF" w:rsidRPr="00E27862" w:rsidRDefault="000F50CF" w:rsidP="000028FA">
            <w:pPr>
              <w:suppressAutoHyphens w:val="0"/>
              <w:autoSpaceDN/>
              <w:spacing w:before="60" w:after="120" w:line="240" w:lineRule="auto"/>
              <w:ind w:left="57" w:right="57"/>
              <w:rPr>
                <w:rFonts w:cs="Arial"/>
                <w:iCs/>
                <w:color w:val="auto"/>
                <w:lang w:val="en-US"/>
              </w:rPr>
            </w:pPr>
            <w:r>
              <w:rPr>
                <w:rFonts w:cs="Arial"/>
                <w:iCs/>
                <w:color w:val="auto"/>
                <w:lang w:val="en-US"/>
              </w:rPr>
              <w:t>Some disadvantaged pupils have low self-esteem and do not have enough belief in their ability as a learner.</w:t>
            </w:r>
          </w:p>
        </w:tc>
      </w:tr>
      <w:tr w:rsidR="00CE642B" w:rsidRPr="00B87E35" w14:paraId="55CC321C" w14:textId="77777777" w:rsidTr="6C5195E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F6211" w14:textId="48FECBC2" w:rsidR="00CE642B" w:rsidRDefault="00CE642B" w:rsidP="000028FA">
            <w:pPr>
              <w:pStyle w:val="TableRow"/>
              <w:rPr>
                <w:sz w:val="22"/>
                <w:szCs w:val="22"/>
              </w:rPr>
            </w:pPr>
            <w:r>
              <w:rPr>
                <w:sz w:val="22"/>
                <w:szCs w:val="22"/>
              </w:rPr>
              <w:t xml:space="preserve">9 </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1FBF7" w14:textId="7C57026C" w:rsidR="00CE642B" w:rsidRDefault="00146613" w:rsidP="000028FA">
            <w:pPr>
              <w:suppressAutoHyphens w:val="0"/>
              <w:autoSpaceDN/>
              <w:spacing w:before="60" w:after="120" w:line="240" w:lineRule="auto"/>
              <w:ind w:left="57" w:right="57"/>
              <w:rPr>
                <w:rFonts w:cs="Arial"/>
                <w:iCs/>
                <w:color w:val="auto"/>
                <w:lang w:val="en-US"/>
              </w:rPr>
            </w:pPr>
            <w:r>
              <w:rPr>
                <w:rFonts w:cs="Arial"/>
                <w:iCs/>
                <w:color w:val="auto"/>
                <w:lang w:val="en-US"/>
              </w:rPr>
              <w:t>More disadvantaged pupils have missed out on educational experiences such as visits, music lessons and creative experiences.</w:t>
            </w:r>
          </w:p>
        </w:tc>
      </w:tr>
    </w:tbl>
    <w:p w14:paraId="2A3E4E27" w14:textId="1554E779" w:rsidR="00E36AAA" w:rsidRDefault="00E36AAA" w:rsidP="000F50CF">
      <w:pPr>
        <w:pStyle w:val="Heading2"/>
        <w:spacing w:before="600"/>
      </w:pPr>
    </w:p>
    <w:p w14:paraId="7540DAE1" w14:textId="5419E658" w:rsidR="00F337E6" w:rsidRDefault="00F337E6" w:rsidP="00F337E6"/>
    <w:p w14:paraId="00A69A82" w14:textId="12822D38" w:rsidR="00F337E6" w:rsidRDefault="00F337E6" w:rsidP="00F337E6"/>
    <w:p w14:paraId="270D7578" w14:textId="77777777" w:rsidR="00F337E6" w:rsidRPr="00F337E6" w:rsidRDefault="00F337E6" w:rsidP="00F337E6"/>
    <w:p w14:paraId="38610A2A" w14:textId="3EE9CBDA" w:rsidR="000F50CF" w:rsidRDefault="000F50CF" w:rsidP="000F50CF">
      <w:pPr>
        <w:pStyle w:val="Heading2"/>
        <w:spacing w:before="600"/>
      </w:pPr>
      <w:r>
        <w:lastRenderedPageBreak/>
        <w:t xml:space="preserve">Intended outcomes </w:t>
      </w:r>
    </w:p>
    <w:p w14:paraId="7DCFC884" w14:textId="77777777" w:rsidR="000F50CF" w:rsidRDefault="000F50CF" w:rsidP="000F50CF">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0F50CF" w14:paraId="230F7AD0"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74C794C" w14:textId="77777777" w:rsidR="000F50CF" w:rsidRDefault="000F50CF" w:rsidP="000028FA">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BD63080" w14:textId="77777777" w:rsidR="000F50CF" w:rsidRDefault="000F50CF" w:rsidP="000028FA">
            <w:pPr>
              <w:pStyle w:val="TableHeader"/>
              <w:jc w:val="left"/>
            </w:pPr>
            <w:r>
              <w:t>Success criteria</w:t>
            </w:r>
          </w:p>
        </w:tc>
      </w:tr>
      <w:tr w:rsidR="000F50CF" w14:paraId="4C09E3FE"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4F03" w14:textId="77777777" w:rsidR="000F50CF" w:rsidRPr="00E27862" w:rsidRDefault="000F50CF" w:rsidP="000028FA">
            <w:pPr>
              <w:pStyle w:val="TableRow"/>
              <w:spacing w:after="120"/>
              <w:rPr>
                <w:rFonts w:cs="Arial"/>
                <w:color w:val="auto"/>
              </w:rPr>
            </w:pPr>
            <w:r w:rsidRPr="00E27862">
              <w:rPr>
                <w:rFonts w:cs="Arial"/>
                <w:color w:val="auto"/>
              </w:rPr>
              <w:t>Improved oral language skills and vocabulary among disadvantaged pupils</w:t>
            </w:r>
            <w:r>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A92" w14:textId="77777777" w:rsidR="000F50CF" w:rsidRPr="00E27862" w:rsidRDefault="000F50CF" w:rsidP="000028FA">
            <w:pPr>
              <w:suppressAutoHyphens w:val="0"/>
              <w:autoSpaceDN/>
              <w:spacing w:before="60" w:after="120" w:line="240" w:lineRule="auto"/>
              <w:ind w:left="57" w:right="57"/>
              <w:rPr>
                <w:rFonts w:cs="Arial"/>
                <w:color w:val="auto"/>
              </w:rPr>
            </w:pPr>
            <w:r>
              <w:rPr>
                <w:rFonts w:cs="Arial"/>
                <w:color w:val="auto"/>
              </w:rPr>
              <w:t>S</w:t>
            </w:r>
            <w:r w:rsidRPr="00E27862">
              <w:rPr>
                <w:rFonts w:cs="Arial"/>
                <w:color w:val="auto"/>
              </w:rPr>
              <w:t>ignificantly improved oral language</w:t>
            </w:r>
            <w:r>
              <w:rPr>
                <w:rFonts w:cs="Arial"/>
                <w:color w:val="auto"/>
              </w:rPr>
              <w:t xml:space="preserve"> and vocabulary</w:t>
            </w:r>
            <w:r w:rsidRPr="00E27862">
              <w:rPr>
                <w:rFonts w:cs="Arial"/>
                <w:color w:val="auto"/>
              </w:rPr>
              <w:t xml:space="preserve"> among disadvantaged pupils</w:t>
            </w:r>
            <w:r>
              <w:rPr>
                <w:rFonts w:cs="Arial"/>
                <w:color w:val="auto"/>
              </w:rPr>
              <w:t xml:space="preserve"> is observed in lessons, books and through ongoing assessments</w:t>
            </w:r>
            <w:r w:rsidRPr="00E27862">
              <w:rPr>
                <w:rFonts w:cs="Arial"/>
                <w:color w:val="auto"/>
              </w:rPr>
              <w:t xml:space="preserve">. </w:t>
            </w:r>
          </w:p>
        </w:tc>
      </w:tr>
      <w:tr w:rsidR="000F50CF" w14:paraId="4F42A7BB"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C51FA" w14:textId="144A3741" w:rsidR="000F50CF" w:rsidRPr="00E27862" w:rsidRDefault="000F50CF" w:rsidP="000028FA">
            <w:pPr>
              <w:pStyle w:val="TableRow"/>
              <w:spacing w:after="120"/>
              <w:ind w:left="29"/>
              <w:rPr>
                <w:rFonts w:cs="Arial"/>
                <w:color w:val="auto"/>
              </w:rPr>
            </w:pPr>
            <w:r w:rsidRPr="00E27862">
              <w:rPr>
                <w:rFonts w:cs="Arial"/>
                <w:color w:val="auto"/>
              </w:rPr>
              <w:t xml:space="preserve">Improved attainment </w:t>
            </w:r>
            <w:r w:rsidR="004B4453">
              <w:rPr>
                <w:rFonts w:cs="Arial"/>
                <w:color w:val="auto"/>
              </w:rPr>
              <w:t xml:space="preserve">at EXS and HS </w:t>
            </w:r>
            <w:r w:rsidRPr="00E27862">
              <w:rPr>
                <w:rFonts w:cs="Arial"/>
                <w:color w:val="auto"/>
              </w:rPr>
              <w:t>among disadvantaged pupil</w:t>
            </w:r>
            <w:r w:rsidR="004B4453">
              <w:rPr>
                <w:rFonts w:cs="Arial"/>
                <w:color w:val="auto"/>
              </w:rPr>
              <w:t>s, closing the attainment gap with non-disadvantaged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1C154" w14:textId="2BB54258" w:rsidR="000F50CF" w:rsidRPr="00E27862" w:rsidRDefault="000F50CF" w:rsidP="000028FA">
            <w:pPr>
              <w:pStyle w:val="TableRowCentered"/>
              <w:spacing w:after="120"/>
              <w:jc w:val="left"/>
              <w:rPr>
                <w:rFonts w:cs="Arial"/>
                <w:color w:val="auto"/>
                <w:lang w:eastAsia="en-US"/>
              </w:rPr>
            </w:pPr>
            <w:r w:rsidRPr="2F6B47BC">
              <w:rPr>
                <w:rFonts w:cs="Arial"/>
                <w:color w:val="auto"/>
              </w:rPr>
              <w:t>KS2</w:t>
            </w:r>
            <w:r w:rsidR="004B4453">
              <w:rPr>
                <w:rFonts w:cs="Arial"/>
                <w:color w:val="auto"/>
              </w:rPr>
              <w:t xml:space="preserve"> and in year</w:t>
            </w:r>
            <w:r w:rsidRPr="2F6B47BC">
              <w:rPr>
                <w:rFonts w:cs="Arial"/>
                <w:color w:val="auto"/>
                <w:lang w:eastAsia="en-US"/>
              </w:rPr>
              <w:t xml:space="preserve"> reading</w:t>
            </w:r>
            <w:r w:rsidR="004B4453">
              <w:rPr>
                <w:rFonts w:cs="Arial"/>
                <w:color w:val="auto"/>
                <w:lang w:eastAsia="en-US"/>
              </w:rPr>
              <w:t>, writing and maths</w:t>
            </w:r>
            <w:r w:rsidRPr="2F6B47BC">
              <w:rPr>
                <w:rFonts w:cs="Arial"/>
                <w:color w:val="auto"/>
                <w:lang w:eastAsia="en-US"/>
              </w:rPr>
              <w:t xml:space="preserve"> outcomes in 20</w:t>
            </w:r>
            <w:r w:rsidR="005153B8">
              <w:rPr>
                <w:rFonts w:cs="Arial"/>
                <w:color w:val="auto"/>
                <w:lang w:eastAsia="en-US"/>
              </w:rPr>
              <w:t>2</w:t>
            </w:r>
            <w:r w:rsidR="004B4453">
              <w:rPr>
                <w:rFonts w:cs="Arial"/>
                <w:color w:val="auto"/>
                <w:lang w:eastAsia="en-US"/>
              </w:rPr>
              <w:t>2</w:t>
            </w:r>
            <w:r w:rsidRPr="2F6B47BC">
              <w:rPr>
                <w:rFonts w:cs="Arial"/>
                <w:color w:val="auto"/>
                <w:lang w:eastAsia="en-US"/>
              </w:rPr>
              <w:t>/</w:t>
            </w:r>
            <w:r w:rsidR="002C1C11">
              <w:rPr>
                <w:rFonts w:cs="Arial"/>
                <w:color w:val="auto"/>
                <w:lang w:eastAsia="en-US"/>
              </w:rPr>
              <w:t>2</w:t>
            </w:r>
            <w:r w:rsidR="004B4453">
              <w:rPr>
                <w:rFonts w:cs="Arial"/>
                <w:color w:val="auto"/>
                <w:lang w:eastAsia="en-US"/>
              </w:rPr>
              <w:t>3</w:t>
            </w:r>
            <w:r w:rsidRPr="2F6B47BC">
              <w:rPr>
                <w:rFonts w:cs="Arial"/>
                <w:color w:val="auto"/>
                <w:lang w:eastAsia="en-US"/>
              </w:rPr>
              <w:t xml:space="preserve"> show that more </w:t>
            </w:r>
            <w:r w:rsidR="004B4453">
              <w:rPr>
                <w:rFonts w:cs="Arial"/>
                <w:color w:val="auto"/>
                <w:lang w:eastAsia="en-US"/>
              </w:rPr>
              <w:t>disadvantaged pupils achieve the expected and higher standards.</w:t>
            </w:r>
          </w:p>
        </w:tc>
      </w:tr>
      <w:tr w:rsidR="000F50CF" w14:paraId="1A9174E1" w14:textId="77777777" w:rsidTr="004F3C63">
        <w:trPr>
          <w:trHeight w:val="2553"/>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98035" w14:textId="53EDC0F9" w:rsidR="000F50CF" w:rsidRPr="004F3C63" w:rsidRDefault="004F3C63" w:rsidP="004F3C63">
            <w:pPr>
              <w:pStyle w:val="TableRowCentered"/>
              <w:jc w:val="left"/>
              <w:rPr>
                <w:color w:val="auto"/>
                <w:szCs w:val="22"/>
              </w:rPr>
            </w:pPr>
            <w:r w:rsidRPr="004F3C63">
              <w:rPr>
                <w:color w:val="auto"/>
                <w:szCs w:val="22"/>
              </w:rPr>
              <w:t>Reading outcomes for disadvantaged pupils are improved, closing the attainment gap with non- disadvantaged pupils</w:t>
            </w:r>
            <w:r>
              <w:rPr>
                <w:color w:val="auto"/>
                <w:szCs w:val="22"/>
              </w:rPr>
              <w:t>. Disadvantaged pupils are able to access the whole curriculum</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7C911" w14:textId="0699F5DF" w:rsidR="004F3C63" w:rsidRDefault="004F3C63" w:rsidP="001E72DC">
            <w:pPr>
              <w:pStyle w:val="TableRowCentered"/>
              <w:spacing w:after="120"/>
              <w:jc w:val="left"/>
              <w:rPr>
                <w:rFonts w:cs="Arial"/>
                <w:color w:val="auto"/>
                <w:szCs w:val="24"/>
              </w:rPr>
            </w:pPr>
            <w:r>
              <w:rPr>
                <w:rFonts w:cs="Arial"/>
                <w:color w:val="auto"/>
                <w:szCs w:val="24"/>
                <w:lang w:eastAsia="en-US"/>
              </w:rPr>
              <w:t>Reading attainment of disadvantaged pupils is increased across the school with more achieving the expected and higher standard at the end of KS2</w:t>
            </w:r>
          </w:p>
          <w:p w14:paraId="1B607928" w14:textId="1FFF49DB" w:rsidR="000F50CF" w:rsidRDefault="004F3C63" w:rsidP="004B4453">
            <w:pPr>
              <w:pStyle w:val="TableRowCentered"/>
              <w:spacing w:after="120"/>
              <w:jc w:val="left"/>
              <w:rPr>
                <w:color w:val="auto"/>
                <w:szCs w:val="24"/>
              </w:rPr>
            </w:pPr>
            <w:r>
              <w:rPr>
                <w:color w:val="auto"/>
                <w:szCs w:val="24"/>
              </w:rPr>
              <w:t xml:space="preserve">More disadvantaged pupils who did not pass their phonics screening in Y1, </w:t>
            </w:r>
            <w:r w:rsidR="00556328" w:rsidRPr="004F3C63">
              <w:rPr>
                <w:color w:val="auto"/>
                <w:szCs w:val="24"/>
              </w:rPr>
              <w:t>move on from decoding to further developing fluency interventions</w:t>
            </w:r>
            <w:r>
              <w:rPr>
                <w:color w:val="auto"/>
                <w:szCs w:val="24"/>
              </w:rPr>
              <w:t xml:space="preserve"> before </w:t>
            </w:r>
            <w:r w:rsidR="001E72DC">
              <w:rPr>
                <w:color w:val="auto"/>
                <w:szCs w:val="24"/>
              </w:rPr>
              <w:t>entering year 4</w:t>
            </w:r>
          </w:p>
          <w:p w14:paraId="2FD85DC1" w14:textId="23271A27" w:rsidR="004F3C63" w:rsidRPr="004F3C63" w:rsidRDefault="001E72DC" w:rsidP="004B4453">
            <w:pPr>
              <w:pStyle w:val="TableRowCentered"/>
              <w:spacing w:after="120"/>
              <w:jc w:val="left"/>
              <w:rPr>
                <w:rFonts w:cs="Arial"/>
                <w:color w:val="auto"/>
                <w:szCs w:val="24"/>
                <w:lang w:eastAsia="en-US"/>
              </w:rPr>
            </w:pPr>
            <w:r>
              <w:rPr>
                <w:rFonts w:cs="Arial"/>
                <w:color w:val="auto"/>
                <w:szCs w:val="24"/>
                <w:lang w:eastAsia="en-US"/>
              </w:rPr>
              <w:t>More disadvantaged pupils are able to develop a lifelong love of reading</w:t>
            </w:r>
          </w:p>
        </w:tc>
      </w:tr>
      <w:tr w:rsidR="002D3C11" w:rsidRPr="00B32FF3" w14:paraId="5A88FCD0"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4A9C6C" w14:textId="41BA748B" w:rsidR="002D3C11" w:rsidRPr="002D3C11" w:rsidRDefault="002D3C11" w:rsidP="002D3C11">
            <w:pPr>
              <w:spacing w:before="60" w:line="240" w:lineRule="auto"/>
              <w:rPr>
                <w:rFonts w:cs="Arial"/>
                <w:color w:val="auto"/>
              </w:rPr>
            </w:pPr>
            <w:r>
              <w:rPr>
                <w:rFonts w:cs="Arial"/>
                <w:color w:val="auto"/>
              </w:rPr>
              <w:t>Improved attainment among SEND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FE2B4" w14:textId="5C441147" w:rsidR="002D3C11" w:rsidRPr="00E27862" w:rsidRDefault="002D3C11" w:rsidP="002D3C11">
            <w:pPr>
              <w:suppressAutoHyphens w:val="0"/>
              <w:autoSpaceDN/>
              <w:spacing w:before="60" w:after="60" w:line="240" w:lineRule="auto"/>
              <w:ind w:right="57"/>
              <w:rPr>
                <w:rFonts w:cs="Arial"/>
                <w:color w:val="auto"/>
              </w:rPr>
            </w:pPr>
            <w:r>
              <w:rPr>
                <w:rFonts w:cs="Arial"/>
                <w:color w:val="auto"/>
              </w:rPr>
              <w:t>SEND pupils mak</w:t>
            </w:r>
            <w:r w:rsidR="002C1C11">
              <w:rPr>
                <w:rFonts w:cs="Arial"/>
                <w:color w:val="auto"/>
              </w:rPr>
              <w:t>e</w:t>
            </w:r>
            <w:r>
              <w:rPr>
                <w:rFonts w:cs="Arial"/>
                <w:color w:val="auto"/>
              </w:rPr>
              <w:t xml:space="preserve"> good progress across the wider curriculum and an increased proportion are reaching the expected standard in reading, writing and maths.</w:t>
            </w:r>
          </w:p>
        </w:tc>
      </w:tr>
      <w:tr w:rsidR="000F50CF" w:rsidRPr="00B32FF3" w14:paraId="6CBF0852"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DA551" w14:textId="77777777" w:rsidR="000F50CF" w:rsidRPr="00E27862" w:rsidRDefault="000F50CF" w:rsidP="000028FA">
            <w:pPr>
              <w:spacing w:before="60" w:line="240" w:lineRule="auto"/>
              <w:ind w:left="29"/>
              <w:rPr>
                <w:rFonts w:cs="Arial"/>
                <w:color w:val="auto"/>
              </w:rPr>
            </w:pPr>
            <w:r w:rsidRPr="00E27862">
              <w:rPr>
                <w:rFonts w:cs="Arial"/>
                <w:color w:val="auto"/>
              </w:rPr>
              <w:t>To achieve and sustain improved wellbeing for all pupils in our school,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BFC81" w14:textId="1EF10541" w:rsidR="000F50CF" w:rsidRPr="00E27862" w:rsidRDefault="000F50CF" w:rsidP="000028FA">
            <w:pPr>
              <w:suppressAutoHyphens w:val="0"/>
              <w:autoSpaceDN/>
              <w:spacing w:before="60" w:after="60" w:line="240" w:lineRule="auto"/>
              <w:ind w:left="34" w:right="57"/>
              <w:rPr>
                <w:rFonts w:cs="Arial"/>
                <w:color w:val="auto"/>
              </w:rPr>
            </w:pPr>
            <w:r w:rsidRPr="00E27862">
              <w:rPr>
                <w:rFonts w:cs="Arial"/>
                <w:color w:val="auto"/>
              </w:rPr>
              <w:t xml:space="preserve">Sustained high levels of wellbeing </w:t>
            </w:r>
            <w:r w:rsidR="002C1C11">
              <w:rPr>
                <w:rFonts w:cs="Arial"/>
                <w:color w:val="auto"/>
              </w:rPr>
              <w:t xml:space="preserve">is </w:t>
            </w:r>
            <w:r w:rsidRPr="00E27862">
              <w:rPr>
                <w:rFonts w:cs="Arial"/>
                <w:color w:val="auto"/>
              </w:rPr>
              <w:t>demonstrated by:</w:t>
            </w:r>
          </w:p>
          <w:p w14:paraId="5A129FCD" w14:textId="77777777" w:rsidR="000F50CF" w:rsidRPr="00E27862" w:rsidRDefault="000F50CF" w:rsidP="000028FA">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qualitative data from </w:t>
            </w:r>
            <w:r>
              <w:rPr>
                <w:rFonts w:cs="Arial"/>
                <w:color w:val="auto"/>
              </w:rPr>
              <w:t>pupil</w:t>
            </w:r>
            <w:r w:rsidRPr="00E27862">
              <w:rPr>
                <w:rFonts w:cs="Arial"/>
                <w:color w:val="auto"/>
              </w:rPr>
              <w:t xml:space="preserve"> voice, </w:t>
            </w:r>
            <w:r>
              <w:rPr>
                <w:rFonts w:cs="Arial"/>
                <w:color w:val="auto"/>
              </w:rPr>
              <w:t>pupil</w:t>
            </w:r>
            <w:r w:rsidRPr="00E27862">
              <w:rPr>
                <w:rFonts w:cs="Arial"/>
                <w:color w:val="auto"/>
              </w:rPr>
              <w:t xml:space="preserve"> and parent surveys and teacher observations</w:t>
            </w:r>
          </w:p>
          <w:p w14:paraId="17896B7E" w14:textId="77777777" w:rsidR="000F50CF" w:rsidRPr="00E27862" w:rsidRDefault="000F50CF" w:rsidP="000028FA">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recorded behaviour incidents remain low</w:t>
            </w:r>
          </w:p>
          <w:p w14:paraId="0DED8975" w14:textId="77777777" w:rsidR="000F50CF" w:rsidRPr="00E27862" w:rsidRDefault="000F50CF" w:rsidP="000028FA">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We aim to have full participation in our varied range of enrichment activities, including extra-curricular activities, educational visits and residentials.</w:t>
            </w:r>
          </w:p>
        </w:tc>
      </w:tr>
      <w:tr w:rsidR="000F50CF" w:rsidRPr="00B32FF3" w14:paraId="59EE3819"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F222E" w14:textId="77777777" w:rsidR="000F50CF" w:rsidRPr="00E27862" w:rsidRDefault="000F50CF" w:rsidP="000028FA">
            <w:pPr>
              <w:pStyle w:val="TableRow"/>
              <w:ind w:left="29"/>
              <w:rPr>
                <w:rFonts w:cs="Arial"/>
                <w:color w:val="auto"/>
              </w:rPr>
            </w:pPr>
            <w:r w:rsidRPr="00E27862">
              <w:rPr>
                <w:rFonts w:cs="Arial"/>
                <w:color w:val="auto"/>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F2A3C" w14:textId="1F633ECB" w:rsidR="000F50CF" w:rsidRPr="00575BAC" w:rsidRDefault="000F50CF" w:rsidP="000028FA">
            <w:pPr>
              <w:suppressAutoHyphens w:val="0"/>
              <w:autoSpaceDN/>
              <w:spacing w:before="60" w:after="60" w:line="240" w:lineRule="auto"/>
              <w:ind w:left="57" w:right="57"/>
              <w:rPr>
                <w:rFonts w:cs="Arial"/>
                <w:color w:val="auto"/>
              </w:rPr>
            </w:pPr>
            <w:r w:rsidRPr="00575BAC">
              <w:rPr>
                <w:rFonts w:cs="Arial"/>
                <w:color w:val="auto"/>
              </w:rPr>
              <w:t>Sustained high attendance demonstrated by:</w:t>
            </w:r>
          </w:p>
          <w:p w14:paraId="04C40C74" w14:textId="619B90A2" w:rsidR="000F50CF" w:rsidRPr="00575BAC" w:rsidRDefault="000F50CF" w:rsidP="000028FA">
            <w:pPr>
              <w:pStyle w:val="ListParagraph"/>
              <w:numPr>
                <w:ilvl w:val="0"/>
                <w:numId w:val="22"/>
              </w:numPr>
              <w:suppressAutoHyphens w:val="0"/>
              <w:autoSpaceDN/>
              <w:spacing w:before="60" w:after="60" w:line="240" w:lineRule="auto"/>
              <w:ind w:right="57"/>
              <w:rPr>
                <w:rFonts w:cs="Arial"/>
                <w:color w:val="auto"/>
              </w:rPr>
            </w:pPr>
            <w:r w:rsidRPr="00575BAC">
              <w:rPr>
                <w:rFonts w:cs="Arial"/>
                <w:color w:val="auto"/>
              </w:rPr>
              <w:t>the overall absence rate for all pupils being no more than 4%, and the attendance gap between disadvantaged pupils and their non-disadvantaged peers being reduced</w:t>
            </w:r>
            <w:r w:rsidR="00575BAC" w:rsidRPr="00575BAC">
              <w:rPr>
                <w:rFonts w:cs="Arial"/>
                <w:color w:val="auto"/>
              </w:rPr>
              <w:t>.</w:t>
            </w:r>
          </w:p>
          <w:p w14:paraId="701E6AA5" w14:textId="69571C7F" w:rsidR="000F50CF" w:rsidRPr="00575BAC" w:rsidRDefault="000F50CF" w:rsidP="000028FA">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575BAC">
              <w:rPr>
                <w:rFonts w:cs="Arial"/>
                <w:color w:val="auto"/>
              </w:rPr>
              <w:t>the percentage of all pupils who are persistently absent being below 11% (National 2019-2020 11.2%) and the figure among disadvantaged pupils being</w:t>
            </w:r>
            <w:r w:rsidR="00575BAC" w:rsidRPr="00575BAC">
              <w:rPr>
                <w:rFonts w:cs="Arial"/>
                <w:color w:val="auto"/>
              </w:rPr>
              <w:t xml:space="preserve"> in line with</w:t>
            </w:r>
            <w:r w:rsidRPr="00575BAC">
              <w:rPr>
                <w:rFonts w:cs="Arial"/>
                <w:color w:val="auto"/>
              </w:rPr>
              <w:t xml:space="preserve"> their peers.</w:t>
            </w:r>
          </w:p>
        </w:tc>
      </w:tr>
      <w:tr w:rsidR="001E72DC" w:rsidRPr="00B32FF3" w14:paraId="051A2FD7" w14:textId="77777777" w:rsidTr="000028F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7D4AB" w14:textId="228CE4C8" w:rsidR="00D703F8" w:rsidRPr="00D703F8" w:rsidRDefault="001E72DC" w:rsidP="00D703F8">
            <w:pPr>
              <w:pStyle w:val="TableRow"/>
              <w:ind w:left="29"/>
              <w:rPr>
                <w:color w:val="auto"/>
                <w:szCs w:val="22"/>
              </w:rPr>
            </w:pPr>
            <w:r>
              <w:rPr>
                <w:color w:val="auto"/>
                <w:szCs w:val="22"/>
              </w:rPr>
              <w:t xml:space="preserve">Greater opportunities for disadvantaged pupils to experience </w:t>
            </w:r>
            <w:r>
              <w:rPr>
                <w:color w:val="auto"/>
                <w:szCs w:val="22"/>
              </w:rPr>
              <w:lastRenderedPageBreak/>
              <w:t xml:space="preserve">enrichment/cultural activities.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15914" w14:textId="225A61E0" w:rsidR="00D703F8" w:rsidRPr="00D703F8" w:rsidRDefault="00D703F8" w:rsidP="00D703F8">
            <w:pPr>
              <w:pStyle w:val="ListParagraph"/>
              <w:numPr>
                <w:ilvl w:val="0"/>
                <w:numId w:val="38"/>
              </w:numPr>
              <w:suppressAutoHyphens w:val="0"/>
              <w:autoSpaceDN/>
              <w:spacing w:before="60" w:after="60" w:line="240" w:lineRule="auto"/>
              <w:ind w:right="57"/>
              <w:rPr>
                <w:color w:val="auto"/>
                <w:szCs w:val="22"/>
              </w:rPr>
            </w:pPr>
            <w:r w:rsidRPr="00D703F8">
              <w:rPr>
                <w:color w:val="auto"/>
                <w:szCs w:val="22"/>
              </w:rPr>
              <w:lastRenderedPageBreak/>
              <w:t xml:space="preserve">More disadvantaged pupils engage in </w:t>
            </w:r>
            <w:proofErr w:type="spellStart"/>
            <w:r w:rsidRPr="00D703F8">
              <w:rPr>
                <w:color w:val="auto"/>
                <w:szCs w:val="22"/>
              </w:rPr>
              <w:t>extra curricular</w:t>
            </w:r>
            <w:proofErr w:type="spellEnd"/>
            <w:r w:rsidRPr="00D703F8">
              <w:rPr>
                <w:color w:val="auto"/>
                <w:szCs w:val="22"/>
              </w:rPr>
              <w:t xml:space="preserve"> clubs and enrichment opportunities</w:t>
            </w:r>
            <w:r>
              <w:rPr>
                <w:color w:val="auto"/>
                <w:szCs w:val="22"/>
              </w:rPr>
              <w:t xml:space="preserve"> across the school</w:t>
            </w:r>
          </w:p>
          <w:p w14:paraId="29325802" w14:textId="77777777" w:rsidR="00D703F8" w:rsidRPr="00D703F8" w:rsidRDefault="00D703F8" w:rsidP="00D703F8">
            <w:pPr>
              <w:pStyle w:val="ListParagraph"/>
              <w:numPr>
                <w:ilvl w:val="0"/>
                <w:numId w:val="37"/>
              </w:numPr>
              <w:suppressAutoHyphens w:val="0"/>
              <w:autoSpaceDN/>
              <w:spacing w:before="60" w:after="60" w:line="240" w:lineRule="auto"/>
              <w:ind w:right="57"/>
              <w:rPr>
                <w:rFonts w:cs="Arial"/>
                <w:color w:val="auto"/>
              </w:rPr>
            </w:pPr>
            <w:r>
              <w:rPr>
                <w:color w:val="auto"/>
                <w:szCs w:val="22"/>
              </w:rPr>
              <w:lastRenderedPageBreak/>
              <w:t xml:space="preserve">Engagement in enrichment activities supports pupil’s well-being and mental health, </w:t>
            </w:r>
          </w:p>
          <w:p w14:paraId="6E56702C" w14:textId="0B670398" w:rsidR="001E72DC" w:rsidRPr="00D703F8" w:rsidRDefault="001E72DC" w:rsidP="00D703F8">
            <w:pPr>
              <w:pStyle w:val="ListParagraph"/>
              <w:numPr>
                <w:ilvl w:val="0"/>
                <w:numId w:val="0"/>
              </w:numPr>
              <w:suppressAutoHyphens w:val="0"/>
              <w:autoSpaceDN/>
              <w:spacing w:before="60" w:after="60" w:line="240" w:lineRule="auto"/>
              <w:ind w:left="840" w:right="57"/>
              <w:rPr>
                <w:rFonts w:cs="Arial"/>
                <w:color w:val="auto"/>
              </w:rPr>
            </w:pPr>
          </w:p>
        </w:tc>
      </w:tr>
      <w:bookmarkEnd w:id="15"/>
      <w:bookmarkEnd w:id="16"/>
      <w:bookmarkEnd w:id="17"/>
    </w:tbl>
    <w:p w14:paraId="3CEE8100" w14:textId="77777777" w:rsidR="00F337E6" w:rsidRDefault="00F337E6" w:rsidP="00F337E6">
      <w:pPr>
        <w:suppressAutoHyphens w:val="0"/>
        <w:spacing w:after="0" w:line="240" w:lineRule="auto"/>
      </w:pPr>
    </w:p>
    <w:p w14:paraId="02436B25" w14:textId="77777777" w:rsidR="00F337E6" w:rsidRPr="00F337E6" w:rsidRDefault="00F337E6" w:rsidP="00F337E6">
      <w:pPr>
        <w:suppressAutoHyphens w:val="0"/>
        <w:spacing w:after="0" w:line="240" w:lineRule="auto"/>
        <w:rPr>
          <w:b/>
          <w:color w:val="17365D" w:themeColor="text2" w:themeShade="BF"/>
        </w:rPr>
      </w:pPr>
    </w:p>
    <w:p w14:paraId="1DD2D7DE" w14:textId="24D7B4E5" w:rsidR="008F2E57" w:rsidRPr="00F337E6" w:rsidRDefault="008F2E57" w:rsidP="00F337E6">
      <w:pPr>
        <w:suppressAutoHyphens w:val="0"/>
        <w:spacing w:after="0" w:line="240" w:lineRule="auto"/>
        <w:rPr>
          <w:b/>
          <w:color w:val="17365D" w:themeColor="text2" w:themeShade="BF"/>
          <w:sz w:val="40"/>
          <w:szCs w:val="32"/>
        </w:rPr>
      </w:pPr>
      <w:r w:rsidRPr="00F337E6">
        <w:rPr>
          <w:b/>
          <w:color w:val="17365D" w:themeColor="text2" w:themeShade="BF"/>
          <w:sz w:val="32"/>
        </w:rPr>
        <w:t>Activity in this academic year</w:t>
      </w:r>
    </w:p>
    <w:p w14:paraId="0D7C079C" w14:textId="34DECF28" w:rsidR="008F2E57" w:rsidRPr="00F337E6" w:rsidRDefault="008F2E57" w:rsidP="008F2E57">
      <w:pPr>
        <w:spacing w:after="480"/>
        <w:rPr>
          <w:b/>
          <w:color w:val="17365D" w:themeColor="text2" w:themeShade="BF"/>
        </w:rPr>
      </w:pPr>
      <w:r w:rsidRPr="00F337E6">
        <w:rPr>
          <w:b/>
          <w:color w:val="17365D" w:themeColor="text2" w:themeShade="BF"/>
        </w:rPr>
        <w:t xml:space="preserve">This details how we intend to spend our pupil premium (and recovery premium funding) </w:t>
      </w:r>
      <w:r w:rsidRPr="00F337E6">
        <w:rPr>
          <w:b/>
          <w:bCs/>
          <w:color w:val="17365D" w:themeColor="text2" w:themeShade="BF"/>
        </w:rPr>
        <w:t>this academic year</w:t>
      </w:r>
      <w:r w:rsidRPr="00F337E6">
        <w:rPr>
          <w:b/>
          <w:color w:val="17365D" w:themeColor="text2" w:themeShade="BF"/>
        </w:rPr>
        <w:t xml:space="preserve"> to address the challenges listed above.</w:t>
      </w:r>
    </w:p>
    <w:p w14:paraId="321003F2" w14:textId="04CED2DC" w:rsidR="00D703F8" w:rsidRDefault="00D703F8" w:rsidP="00D703F8">
      <w:pPr>
        <w:pStyle w:val="Heading3"/>
      </w:pPr>
      <w:r>
        <w:t>Teaching (for example, CPD, recruitment and retention)</w:t>
      </w:r>
    </w:p>
    <w:p w14:paraId="2B74332E" w14:textId="2774CBA9" w:rsidR="00D703F8" w:rsidRPr="00750C33" w:rsidRDefault="00D703F8" w:rsidP="61C2FAD1">
      <w:pPr>
        <w:rPr>
          <w:b/>
          <w:bCs/>
          <w:color w:val="auto"/>
        </w:rPr>
      </w:pPr>
      <w:r>
        <w:t xml:space="preserve">Budgeted cost: </w:t>
      </w:r>
      <w:r w:rsidRPr="61C2FAD1">
        <w:rPr>
          <w:b/>
          <w:bCs/>
          <w:color w:val="auto"/>
        </w:rPr>
        <w:t>£</w:t>
      </w:r>
      <w:r w:rsidR="279FAE26" w:rsidRPr="61C2FAD1">
        <w:rPr>
          <w:b/>
          <w:bCs/>
          <w:color w:val="auto"/>
        </w:rPr>
        <w:t>19,723.00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D703F8" w14:paraId="60DB5C83"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DC4481" w14:textId="77777777" w:rsidR="00D703F8" w:rsidRDefault="00D703F8" w:rsidP="002970A6">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43CC5B4" w14:textId="77777777" w:rsidR="00D703F8" w:rsidRDefault="00D703F8" w:rsidP="002970A6">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A79771D" w14:textId="77777777" w:rsidR="00D703F8" w:rsidRDefault="00D703F8" w:rsidP="002970A6">
            <w:pPr>
              <w:pStyle w:val="TableHeader"/>
              <w:jc w:val="left"/>
            </w:pPr>
            <w:r>
              <w:t>Challenge number(s) addressed</w:t>
            </w:r>
          </w:p>
        </w:tc>
      </w:tr>
      <w:tr w:rsidR="00D703F8" w14:paraId="218B487E"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90AA5" w14:textId="77777777" w:rsidR="00D703F8" w:rsidRPr="00E27862" w:rsidRDefault="00D703F8" w:rsidP="002970A6">
            <w:pPr>
              <w:suppressAutoHyphens w:val="0"/>
              <w:autoSpaceDN/>
              <w:spacing w:before="60" w:line="240" w:lineRule="auto"/>
              <w:ind w:left="29" w:right="57"/>
              <w:rPr>
                <w:iCs/>
                <w:color w:val="auto"/>
                <w:lang w:val="en-US"/>
              </w:rPr>
            </w:pPr>
            <w:r w:rsidRPr="00E27862">
              <w:rPr>
                <w:iCs/>
                <w:color w:val="auto"/>
                <w:lang w:val="en-US"/>
              </w:rPr>
              <w:t xml:space="preserve">Embedding dialogic activities across the school curriculum. These can support pupils to articulate key ideas, consolidate understanding and extend vocabulary. </w:t>
            </w:r>
          </w:p>
          <w:p w14:paraId="092B8B25" w14:textId="77777777" w:rsidR="00D703F8" w:rsidRDefault="00D703F8" w:rsidP="002970A6">
            <w:pPr>
              <w:suppressAutoHyphens w:val="0"/>
              <w:autoSpaceDN/>
              <w:spacing w:before="60" w:after="120" w:line="240" w:lineRule="auto"/>
              <w:ind w:left="57" w:right="57"/>
              <w:rPr>
                <w:color w:val="auto"/>
              </w:rPr>
            </w:pPr>
            <w:r w:rsidRPr="00E27862">
              <w:rPr>
                <w:color w:val="auto"/>
              </w:rPr>
              <w:t xml:space="preserve">We will purchase resources and fund ongoing teacher training and release time. </w:t>
            </w:r>
          </w:p>
          <w:p w14:paraId="709A3BD9" w14:textId="1AD1D656" w:rsidR="001C5883" w:rsidRPr="00E27862" w:rsidRDefault="001C5883" w:rsidP="002970A6">
            <w:pPr>
              <w:suppressAutoHyphens w:val="0"/>
              <w:autoSpaceDN/>
              <w:spacing w:before="60" w:after="120" w:line="240" w:lineRule="auto"/>
              <w:ind w:left="57" w:right="57"/>
              <w:rPr>
                <w:color w:val="auto"/>
              </w:rPr>
            </w:pPr>
            <w:r>
              <w:rPr>
                <w:color w:val="auto"/>
              </w:rPr>
              <w:t xml:space="preserve">West Midlands Speech and Language Therapy half day refresher training for all staff 04.09.22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6E0DA" w14:textId="77777777" w:rsidR="00D703F8" w:rsidRPr="00E27862" w:rsidRDefault="00D703F8" w:rsidP="002970A6">
            <w:pPr>
              <w:suppressAutoHyphens w:val="0"/>
              <w:autoSpaceDN/>
              <w:spacing w:before="60" w:after="60" w:line="240" w:lineRule="auto"/>
              <w:ind w:left="57" w:right="57"/>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051CF021" w14:textId="77777777" w:rsidR="00D703F8" w:rsidRPr="00E27862" w:rsidRDefault="00DA2477" w:rsidP="002970A6">
            <w:pPr>
              <w:suppressAutoHyphens w:val="0"/>
              <w:autoSpaceDN/>
              <w:spacing w:before="60" w:after="60" w:line="240" w:lineRule="auto"/>
              <w:ind w:left="57" w:right="57"/>
              <w:rPr>
                <w:color w:val="auto"/>
              </w:rPr>
            </w:pPr>
            <w:hyperlink r:id="rId12" w:history="1">
              <w:r w:rsidR="00D703F8" w:rsidRPr="00391C6D">
                <w:rPr>
                  <w:rFonts w:cs="Arial"/>
                  <w:color w:val="0070C0"/>
                  <w:u w:val="single"/>
                </w:rPr>
                <w:t>Oral language interventions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4C8CD" w14:textId="77777777" w:rsidR="00D703F8" w:rsidRDefault="00D703F8" w:rsidP="002970A6">
            <w:pPr>
              <w:pStyle w:val="TableRowCentered"/>
              <w:jc w:val="left"/>
              <w:rPr>
                <w:color w:val="auto"/>
                <w:sz w:val="22"/>
                <w:szCs w:val="22"/>
              </w:rPr>
            </w:pPr>
            <w:r w:rsidRPr="00E27862">
              <w:rPr>
                <w:color w:val="auto"/>
                <w:sz w:val="22"/>
                <w:szCs w:val="22"/>
              </w:rPr>
              <w:t>1</w:t>
            </w:r>
            <w:r>
              <w:rPr>
                <w:color w:val="auto"/>
                <w:sz w:val="22"/>
                <w:szCs w:val="22"/>
              </w:rPr>
              <w:t>,2</w:t>
            </w:r>
          </w:p>
          <w:p w14:paraId="7E083DC1" w14:textId="77777777" w:rsidR="00D703F8" w:rsidRDefault="00D703F8" w:rsidP="002970A6">
            <w:pPr>
              <w:pStyle w:val="TableRowCentered"/>
              <w:jc w:val="left"/>
              <w:rPr>
                <w:color w:val="auto"/>
                <w:sz w:val="22"/>
                <w:szCs w:val="22"/>
              </w:rPr>
            </w:pPr>
          </w:p>
          <w:p w14:paraId="1D361ACA" w14:textId="77777777" w:rsidR="00D703F8" w:rsidRDefault="00D703F8" w:rsidP="002970A6">
            <w:pPr>
              <w:pStyle w:val="TableRowCentered"/>
              <w:jc w:val="left"/>
              <w:rPr>
                <w:color w:val="auto"/>
                <w:sz w:val="22"/>
                <w:szCs w:val="22"/>
              </w:rPr>
            </w:pPr>
          </w:p>
          <w:p w14:paraId="00045E9A" w14:textId="77777777" w:rsidR="00D703F8" w:rsidRDefault="001C5883" w:rsidP="002970A6">
            <w:pPr>
              <w:pStyle w:val="TableRowCentered"/>
              <w:jc w:val="left"/>
              <w:rPr>
                <w:color w:val="auto"/>
                <w:sz w:val="22"/>
                <w:szCs w:val="22"/>
              </w:rPr>
            </w:pPr>
            <w:r>
              <w:rPr>
                <w:color w:val="auto"/>
                <w:sz w:val="22"/>
                <w:szCs w:val="22"/>
              </w:rPr>
              <w:t xml:space="preserve">   </w:t>
            </w:r>
          </w:p>
          <w:p w14:paraId="239CEF61" w14:textId="77777777" w:rsidR="001C5883" w:rsidRDefault="001C5883" w:rsidP="002970A6">
            <w:pPr>
              <w:pStyle w:val="TableRowCentered"/>
              <w:jc w:val="left"/>
              <w:rPr>
                <w:color w:val="auto"/>
                <w:sz w:val="22"/>
                <w:szCs w:val="22"/>
              </w:rPr>
            </w:pPr>
          </w:p>
          <w:p w14:paraId="23AB0521" w14:textId="77777777" w:rsidR="001C5883" w:rsidRDefault="001C5883" w:rsidP="002970A6">
            <w:pPr>
              <w:pStyle w:val="TableRowCentered"/>
              <w:jc w:val="left"/>
              <w:rPr>
                <w:color w:val="auto"/>
                <w:sz w:val="22"/>
                <w:szCs w:val="22"/>
              </w:rPr>
            </w:pPr>
          </w:p>
          <w:p w14:paraId="73E63FBE" w14:textId="77777777" w:rsidR="001C5883" w:rsidRDefault="001C5883" w:rsidP="001C5883">
            <w:pPr>
              <w:pStyle w:val="TableRowCentered"/>
              <w:ind w:left="0"/>
              <w:jc w:val="left"/>
              <w:rPr>
                <w:color w:val="auto"/>
                <w:sz w:val="22"/>
                <w:szCs w:val="22"/>
              </w:rPr>
            </w:pPr>
          </w:p>
          <w:p w14:paraId="3FAE6CA8" w14:textId="5BAA7E3F" w:rsidR="001C5883" w:rsidRPr="00E27862" w:rsidRDefault="001C5883" w:rsidP="001C5883">
            <w:pPr>
              <w:pStyle w:val="TableRowCentered"/>
              <w:ind w:left="0"/>
              <w:jc w:val="left"/>
              <w:rPr>
                <w:color w:val="auto"/>
                <w:sz w:val="22"/>
                <w:szCs w:val="22"/>
              </w:rPr>
            </w:pPr>
            <w:r>
              <w:rPr>
                <w:color w:val="auto"/>
                <w:sz w:val="22"/>
                <w:szCs w:val="22"/>
              </w:rPr>
              <w:t>£250</w:t>
            </w:r>
          </w:p>
        </w:tc>
      </w:tr>
      <w:tr w:rsidR="00D703F8" w14:paraId="1CC73F0E"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1BA3A6" w14:textId="465A99AA" w:rsidR="00D703F8" w:rsidRDefault="00DA2477" w:rsidP="002970A6">
            <w:pPr>
              <w:suppressAutoHyphens w:val="0"/>
              <w:autoSpaceDN/>
              <w:spacing w:before="60" w:after="120" w:line="240" w:lineRule="auto"/>
              <w:ind w:left="29" w:right="57"/>
              <w:rPr>
                <w:rFonts w:cs="Arial"/>
                <w:iCs/>
                <w:color w:val="auto"/>
              </w:rPr>
            </w:pPr>
            <w:hyperlink r:id="rId13" w:history="1">
              <w:r w:rsidR="00D703F8" w:rsidRPr="00D01A6D">
                <w:rPr>
                  <w:rStyle w:val="Hyperlink"/>
                  <w:rFonts w:cs="Arial"/>
                  <w:iCs/>
                  <w:color w:val="0070C0"/>
                </w:rPr>
                <w:t>D</w:t>
              </w:r>
              <w:r w:rsidR="00D703F8" w:rsidRPr="00D01A6D">
                <w:rPr>
                  <w:rStyle w:val="Hyperlink"/>
                  <w:color w:val="0070C0"/>
                </w:rPr>
                <w:t xml:space="preserve">fE </w:t>
              </w:r>
              <w:r w:rsidR="00D703F8" w:rsidRPr="00D01A6D">
                <w:rPr>
                  <w:rStyle w:val="Hyperlink"/>
                  <w:rFonts w:cs="Arial"/>
                  <w:iCs/>
                  <w:color w:val="0070C0"/>
                </w:rPr>
                <w:t>validated Systematic Synthetic Phonics programme</w:t>
              </w:r>
            </w:hyperlink>
            <w:r w:rsidR="00D703F8" w:rsidRPr="00E27862">
              <w:rPr>
                <w:rFonts w:cs="Arial"/>
                <w:iCs/>
                <w:color w:val="auto"/>
              </w:rPr>
              <w:t xml:space="preserve"> </w:t>
            </w:r>
            <w:r w:rsidR="00D703F8">
              <w:rPr>
                <w:rFonts w:cs="Arial"/>
                <w:iCs/>
                <w:color w:val="auto"/>
              </w:rPr>
              <w:t xml:space="preserve">(Little </w:t>
            </w:r>
            <w:proofErr w:type="spellStart"/>
            <w:r w:rsidR="00D703F8">
              <w:rPr>
                <w:rFonts w:cs="Arial"/>
                <w:iCs/>
                <w:color w:val="auto"/>
              </w:rPr>
              <w:t>Wandle</w:t>
            </w:r>
            <w:proofErr w:type="spellEnd"/>
            <w:r w:rsidR="00D703F8">
              <w:rPr>
                <w:rFonts w:cs="Arial"/>
                <w:iCs/>
                <w:color w:val="auto"/>
              </w:rPr>
              <w:t xml:space="preserve">), </w:t>
            </w:r>
            <w:r w:rsidR="00D703F8" w:rsidRPr="00E27862">
              <w:rPr>
                <w:rFonts w:cs="Arial"/>
                <w:iCs/>
                <w:color w:val="auto"/>
              </w:rPr>
              <w:t>to secure stronger phonics teaching for all pupils.</w:t>
            </w:r>
          </w:p>
          <w:p w14:paraId="27D57893" w14:textId="437F629D" w:rsidR="003D7ACE" w:rsidRDefault="001C5883" w:rsidP="003D7ACE">
            <w:pPr>
              <w:suppressAutoHyphens w:val="0"/>
              <w:autoSpaceDN/>
              <w:spacing w:before="60" w:after="120" w:line="240" w:lineRule="auto"/>
              <w:ind w:left="29" w:right="57"/>
              <w:rPr>
                <w:rFonts w:cs="Arial"/>
                <w:iCs/>
                <w:color w:val="auto"/>
              </w:rPr>
            </w:pPr>
            <w:r>
              <w:rPr>
                <w:rFonts w:cs="Arial"/>
                <w:iCs/>
                <w:color w:val="auto"/>
              </w:rPr>
              <w:t>New</w:t>
            </w:r>
            <w:r w:rsidR="00D703F8">
              <w:rPr>
                <w:rFonts w:cs="Arial"/>
                <w:iCs/>
                <w:color w:val="auto"/>
              </w:rPr>
              <w:t xml:space="preserve"> staff to receive </w:t>
            </w:r>
            <w:r>
              <w:rPr>
                <w:rFonts w:cs="Arial"/>
                <w:iCs/>
                <w:color w:val="auto"/>
              </w:rPr>
              <w:t xml:space="preserve">Little </w:t>
            </w:r>
            <w:proofErr w:type="spellStart"/>
            <w:r>
              <w:rPr>
                <w:rFonts w:cs="Arial"/>
                <w:iCs/>
                <w:color w:val="auto"/>
              </w:rPr>
              <w:t>Wandle</w:t>
            </w:r>
            <w:proofErr w:type="spellEnd"/>
            <w:r>
              <w:rPr>
                <w:rFonts w:cs="Arial"/>
                <w:iCs/>
                <w:color w:val="auto"/>
              </w:rPr>
              <w:t xml:space="preserve"> </w:t>
            </w:r>
            <w:r w:rsidR="00D703F8">
              <w:rPr>
                <w:rFonts w:cs="Arial"/>
                <w:iCs/>
                <w:color w:val="auto"/>
              </w:rPr>
              <w:t>training in delivering phonics teaching</w:t>
            </w:r>
            <w:r w:rsidR="003D7ACE">
              <w:rPr>
                <w:rFonts w:cs="Arial"/>
                <w:iCs/>
                <w:color w:val="auto"/>
              </w:rPr>
              <w:t>.</w:t>
            </w:r>
          </w:p>
          <w:p w14:paraId="7361EFDE" w14:textId="78461A95" w:rsidR="003D7ACE" w:rsidRPr="00E27862" w:rsidRDefault="003D7ACE" w:rsidP="002970A6">
            <w:pPr>
              <w:suppressAutoHyphens w:val="0"/>
              <w:autoSpaceDN/>
              <w:spacing w:before="60" w:after="120" w:line="240" w:lineRule="auto"/>
              <w:ind w:left="29" w:right="57"/>
              <w:rPr>
                <w:rFonts w:cs="Arial"/>
                <w:iCs/>
                <w:color w:val="auto"/>
              </w:rPr>
            </w:pPr>
            <w:r>
              <w:rPr>
                <w:rFonts w:cs="Arial"/>
                <w:iCs/>
                <w:color w:val="auto"/>
              </w:rPr>
              <w:t>Top up resource cards and decodable readers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C0C51" w14:textId="77777777" w:rsidR="00D703F8" w:rsidRPr="00E27862" w:rsidRDefault="00D703F8" w:rsidP="002970A6">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DB12BDD" w14:textId="77777777" w:rsidR="00D703F8" w:rsidRPr="00E27862" w:rsidRDefault="00DA2477" w:rsidP="002970A6">
            <w:pPr>
              <w:pStyle w:val="TableRowCentered"/>
              <w:spacing w:after="120"/>
              <w:jc w:val="left"/>
              <w:rPr>
                <w:rFonts w:cs="Arial"/>
                <w:color w:val="auto"/>
                <w:szCs w:val="24"/>
              </w:rPr>
            </w:pPr>
            <w:hyperlink r:id="rId14" w:history="1">
              <w:r w:rsidR="00D703F8"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C65BF" w14:textId="77777777" w:rsidR="00D703F8" w:rsidRDefault="00D703F8" w:rsidP="002970A6">
            <w:pPr>
              <w:pStyle w:val="TableRowCentered"/>
              <w:jc w:val="left"/>
              <w:rPr>
                <w:color w:val="auto"/>
                <w:szCs w:val="24"/>
              </w:rPr>
            </w:pPr>
            <w:r w:rsidRPr="00E27862">
              <w:rPr>
                <w:color w:val="auto"/>
                <w:szCs w:val="24"/>
              </w:rPr>
              <w:t>2</w:t>
            </w:r>
          </w:p>
          <w:p w14:paraId="496A563B" w14:textId="77777777" w:rsidR="00D703F8" w:rsidRDefault="00D703F8" w:rsidP="002970A6">
            <w:pPr>
              <w:pStyle w:val="TableRowCentered"/>
              <w:jc w:val="left"/>
              <w:rPr>
                <w:color w:val="auto"/>
                <w:szCs w:val="24"/>
              </w:rPr>
            </w:pPr>
          </w:p>
          <w:p w14:paraId="7CC0E500" w14:textId="77777777" w:rsidR="003D7ACE" w:rsidRDefault="003D7ACE" w:rsidP="002970A6">
            <w:pPr>
              <w:pStyle w:val="TableRowCentered"/>
              <w:jc w:val="left"/>
              <w:rPr>
                <w:color w:val="auto"/>
                <w:szCs w:val="24"/>
              </w:rPr>
            </w:pPr>
          </w:p>
          <w:p w14:paraId="134715BE" w14:textId="77777777" w:rsidR="003D7ACE" w:rsidRDefault="003D7ACE" w:rsidP="002970A6">
            <w:pPr>
              <w:pStyle w:val="TableRowCentered"/>
              <w:jc w:val="left"/>
              <w:rPr>
                <w:color w:val="auto"/>
                <w:szCs w:val="24"/>
              </w:rPr>
            </w:pPr>
          </w:p>
          <w:p w14:paraId="5FE4828A" w14:textId="77777777" w:rsidR="003D7ACE" w:rsidRDefault="003D7ACE" w:rsidP="002970A6">
            <w:pPr>
              <w:pStyle w:val="TableRowCentered"/>
              <w:jc w:val="left"/>
              <w:rPr>
                <w:color w:val="auto"/>
                <w:szCs w:val="24"/>
              </w:rPr>
            </w:pPr>
          </w:p>
          <w:p w14:paraId="2131406A" w14:textId="77777777" w:rsidR="003D7ACE" w:rsidRDefault="003D7ACE" w:rsidP="003D7ACE">
            <w:pPr>
              <w:pStyle w:val="TableRowCentered"/>
              <w:ind w:left="0"/>
              <w:jc w:val="left"/>
              <w:rPr>
                <w:color w:val="auto"/>
                <w:szCs w:val="24"/>
              </w:rPr>
            </w:pPr>
            <w:r>
              <w:rPr>
                <w:color w:val="auto"/>
                <w:szCs w:val="24"/>
              </w:rPr>
              <w:t>£1000 to release staff</w:t>
            </w:r>
          </w:p>
          <w:p w14:paraId="68082D85" w14:textId="720B8923" w:rsidR="003D7ACE" w:rsidRPr="00E27862" w:rsidRDefault="003D7ACE" w:rsidP="003D7ACE">
            <w:pPr>
              <w:pStyle w:val="TableRowCentered"/>
              <w:ind w:left="0"/>
              <w:jc w:val="left"/>
              <w:rPr>
                <w:color w:val="auto"/>
                <w:szCs w:val="24"/>
              </w:rPr>
            </w:pPr>
            <w:r>
              <w:rPr>
                <w:color w:val="auto"/>
                <w:szCs w:val="24"/>
              </w:rPr>
              <w:t>£500</w:t>
            </w:r>
          </w:p>
        </w:tc>
      </w:tr>
      <w:tr w:rsidR="00D703F8" w14:paraId="7EE63CD4"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B93B9" w14:textId="77777777" w:rsidR="00D703F8" w:rsidRPr="000C6921" w:rsidRDefault="00D703F8" w:rsidP="002970A6">
            <w:pPr>
              <w:pStyle w:val="xmsonormal"/>
              <w:numPr>
                <w:ilvl w:val="0"/>
                <w:numId w:val="1"/>
              </w:numPr>
              <w:spacing w:after="0"/>
              <w:rPr>
                <w:rFonts w:ascii="Arial" w:hAnsi="Arial" w:cs="Arial"/>
                <w:color w:val="000000"/>
                <w:szCs w:val="22"/>
              </w:rPr>
            </w:pPr>
            <w:r>
              <w:rPr>
                <w:rFonts w:ascii="Arial" w:hAnsi="Arial" w:cs="Arial"/>
                <w:color w:val="000000"/>
                <w:szCs w:val="22"/>
              </w:rPr>
              <w:t>Through training, coaching and mentoring, e</w:t>
            </w:r>
            <w:r w:rsidRPr="000C6921">
              <w:rPr>
                <w:rFonts w:ascii="Arial" w:hAnsi="Arial" w:cs="Arial"/>
                <w:color w:val="000000"/>
                <w:szCs w:val="22"/>
              </w:rPr>
              <w:t xml:space="preserve">nsure that teachers and staff are confident and have the necessary subject knowledge and pedagogy to deliver high-quality </w:t>
            </w:r>
            <w:r w:rsidRPr="000C6921">
              <w:rPr>
                <w:rFonts w:ascii="Arial" w:hAnsi="Arial" w:cs="Arial"/>
                <w:color w:val="000000"/>
                <w:szCs w:val="22"/>
              </w:rPr>
              <w:lastRenderedPageBreak/>
              <w:t>teaching, learning and assessment, including same day catch up sessions</w:t>
            </w:r>
            <w:r>
              <w:rPr>
                <w:rFonts w:ascii="Arial" w:hAnsi="Arial" w:cs="Arial"/>
                <w:color w:val="000000"/>
                <w:szCs w:val="22"/>
              </w:rPr>
              <w:t>.</w:t>
            </w:r>
            <w:r w:rsidRPr="000C6921">
              <w:rPr>
                <w:rFonts w:ascii="Arial" w:hAnsi="Arial" w:cs="Arial"/>
                <w:color w:val="000000"/>
                <w:szCs w:val="22"/>
              </w:rPr>
              <w:t xml:space="preserve">  </w:t>
            </w:r>
          </w:p>
          <w:p w14:paraId="74EEF3AD" w14:textId="77777777" w:rsidR="00D703F8" w:rsidRPr="000C6921" w:rsidRDefault="00D703F8" w:rsidP="002970A6">
            <w:pPr>
              <w:spacing w:before="60" w:after="120" w:line="240" w:lineRule="auto"/>
              <w:ind w:left="28" w:right="57"/>
              <w:rPr>
                <w:rFonts w:asciiTheme="minorHAnsi" w:hAnsiTheme="minorHAnsi" w:cstheme="minorHAnsi"/>
                <w:iCs/>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71B07" w14:textId="77777777" w:rsidR="00D703F8" w:rsidRPr="00E27862" w:rsidRDefault="00D703F8" w:rsidP="002970A6">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41A493AA" w14:textId="77777777" w:rsidR="00D703F8" w:rsidRPr="00D01A6D" w:rsidRDefault="00DA2477" w:rsidP="002970A6">
            <w:pPr>
              <w:suppressAutoHyphens w:val="0"/>
              <w:autoSpaceDN/>
              <w:spacing w:before="60" w:after="120" w:line="240" w:lineRule="auto"/>
              <w:ind w:left="57" w:right="57"/>
              <w:rPr>
                <w:rFonts w:cs="Arial"/>
                <w:iCs/>
                <w:color w:val="0070C0"/>
              </w:rPr>
            </w:pPr>
            <w:hyperlink r:id="rId15" w:history="1">
              <w:r w:rsidR="00D703F8" w:rsidRPr="00D01A6D">
                <w:rPr>
                  <w:color w:val="0070C0"/>
                  <w:u w:val="single"/>
                </w:rPr>
                <w:t>Maths_guidance_KS_1_and_2.pdf (publishing.service.gov.uk)</w:t>
              </w:r>
            </w:hyperlink>
          </w:p>
          <w:p w14:paraId="61C1BC78" w14:textId="77777777" w:rsidR="00D703F8" w:rsidRPr="00E27862" w:rsidRDefault="00D703F8" w:rsidP="002970A6">
            <w:pPr>
              <w:suppressAutoHyphens w:val="0"/>
              <w:autoSpaceDN/>
              <w:spacing w:before="120" w:after="60" w:line="240" w:lineRule="auto"/>
              <w:ind w:left="57" w:right="57"/>
              <w:rPr>
                <w:rFonts w:cs="Arial"/>
                <w:color w:val="auto"/>
              </w:rPr>
            </w:pPr>
            <w:r w:rsidRPr="00E27862">
              <w:rPr>
                <w:rFonts w:cs="Arial"/>
                <w:color w:val="auto"/>
              </w:rPr>
              <w:lastRenderedPageBreak/>
              <w:t xml:space="preserve">The EEF guidance is based on a range of the best available evidence: </w:t>
            </w:r>
          </w:p>
          <w:p w14:paraId="60682E05" w14:textId="77777777" w:rsidR="00D703F8" w:rsidRPr="00E27862" w:rsidRDefault="00DA2477" w:rsidP="002970A6">
            <w:pPr>
              <w:suppressAutoHyphens w:val="0"/>
              <w:autoSpaceDN/>
              <w:spacing w:before="60" w:after="120" w:line="240" w:lineRule="auto"/>
              <w:ind w:left="57" w:right="57"/>
              <w:rPr>
                <w:rFonts w:cs="Arial"/>
                <w:color w:val="auto"/>
                <w:u w:val="single"/>
              </w:rPr>
            </w:pPr>
            <w:hyperlink r:id="rId16" w:history="1">
              <w:r w:rsidR="00D703F8"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5B46" w14:textId="77777777" w:rsidR="00D703F8" w:rsidRDefault="00D703F8" w:rsidP="002970A6">
            <w:pPr>
              <w:pStyle w:val="TableRowCentered"/>
              <w:jc w:val="left"/>
              <w:rPr>
                <w:color w:val="auto"/>
                <w:szCs w:val="24"/>
              </w:rPr>
            </w:pPr>
            <w:r w:rsidRPr="00E27862">
              <w:rPr>
                <w:color w:val="auto"/>
                <w:szCs w:val="24"/>
              </w:rPr>
              <w:lastRenderedPageBreak/>
              <w:t>3</w:t>
            </w:r>
          </w:p>
          <w:p w14:paraId="0F0682FA" w14:textId="3BDA5333" w:rsidR="00D703F8" w:rsidRPr="00E27862" w:rsidRDefault="00D703F8" w:rsidP="61C2FAD1">
            <w:pPr>
              <w:pStyle w:val="TableRowCentered"/>
              <w:jc w:val="left"/>
              <w:rPr>
                <w:color w:val="auto"/>
              </w:rPr>
            </w:pPr>
          </w:p>
          <w:p w14:paraId="634C3DA8" w14:textId="5F5ED932" w:rsidR="00D703F8" w:rsidRPr="00E27862" w:rsidRDefault="4C36F820" w:rsidP="61C2FAD1">
            <w:pPr>
              <w:pStyle w:val="TableRowCentered"/>
              <w:jc w:val="left"/>
              <w:rPr>
                <w:color w:val="0D0D0D" w:themeColor="text1" w:themeTint="F2"/>
                <w:szCs w:val="24"/>
              </w:rPr>
            </w:pPr>
            <w:r w:rsidRPr="61C2FAD1">
              <w:rPr>
                <w:color w:val="auto"/>
                <w:szCs w:val="24"/>
              </w:rPr>
              <w:t>£5000</w:t>
            </w:r>
          </w:p>
        </w:tc>
      </w:tr>
      <w:tr w:rsidR="00D703F8" w14:paraId="010E0B51"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706E3" w14:textId="77777777" w:rsidR="00D703F8" w:rsidRPr="00275EB8" w:rsidRDefault="00D703F8" w:rsidP="002970A6">
            <w:pPr>
              <w:suppressAutoHyphens w:val="0"/>
              <w:autoSpaceDN/>
              <w:spacing w:before="60" w:after="0" w:line="240" w:lineRule="auto"/>
              <w:ind w:left="29"/>
              <w:rPr>
                <w:rFonts w:cs="Arial"/>
                <w:iCs/>
                <w:color w:val="auto"/>
                <w:lang w:val="en-US" w:eastAsia="en-US"/>
              </w:rPr>
            </w:pPr>
            <w:bookmarkStart w:id="18" w:name="_Hlk114147830"/>
            <w:r w:rsidRPr="00275EB8">
              <w:rPr>
                <w:rFonts w:cs="Arial"/>
                <w:iCs/>
                <w:color w:val="auto"/>
                <w:lang w:val="en-US" w:eastAsia="en-US"/>
              </w:rPr>
              <w:t>Improve the quality of social and emotional (SEL) learning.</w:t>
            </w:r>
          </w:p>
          <w:p w14:paraId="012000D8" w14:textId="77777777" w:rsidR="00D703F8" w:rsidRPr="00275EB8" w:rsidRDefault="00D703F8" w:rsidP="002970A6">
            <w:pPr>
              <w:suppressAutoHyphens w:val="0"/>
              <w:autoSpaceDN/>
              <w:spacing w:after="0" w:line="240" w:lineRule="auto"/>
              <w:rPr>
                <w:rFonts w:cs="Arial"/>
                <w:iCs/>
                <w:color w:val="auto"/>
                <w:lang w:val="en-US" w:eastAsia="en-US"/>
              </w:rPr>
            </w:pPr>
          </w:p>
          <w:p w14:paraId="43CD11CB" w14:textId="77777777" w:rsidR="00D703F8" w:rsidRPr="00275EB8" w:rsidRDefault="00D703F8" w:rsidP="002970A6">
            <w:pPr>
              <w:suppressAutoHyphens w:val="0"/>
              <w:autoSpaceDN/>
              <w:spacing w:line="240" w:lineRule="auto"/>
              <w:rPr>
                <w:rFonts w:cs="Arial"/>
                <w:iCs/>
                <w:color w:val="auto"/>
                <w:lang w:val="en-US" w:eastAsia="en-US"/>
              </w:rPr>
            </w:pPr>
            <w:r w:rsidRPr="00275EB8">
              <w:rPr>
                <w:rFonts w:cs="Arial"/>
                <w:iCs/>
                <w:color w:val="auto"/>
                <w:lang w:val="en-US" w:eastAsia="en-US"/>
              </w:rPr>
              <w:t>SEL approaches will be embedded into routine educational practices and supported by professional development and training for staff:</w:t>
            </w:r>
          </w:p>
          <w:p w14:paraId="39188591" w14:textId="0E2EF849" w:rsidR="00D703F8" w:rsidRPr="003D7ACE" w:rsidRDefault="003D7ACE" w:rsidP="003D7ACE">
            <w:pPr>
              <w:pStyle w:val="ListParagraph"/>
              <w:numPr>
                <w:ilvl w:val="0"/>
                <w:numId w:val="35"/>
              </w:numPr>
              <w:suppressAutoHyphens w:val="0"/>
              <w:autoSpaceDN/>
              <w:spacing w:line="240" w:lineRule="auto"/>
              <w:rPr>
                <w:rFonts w:cs="Arial"/>
                <w:iCs/>
                <w:color w:val="auto"/>
                <w:lang w:val="en-US" w:eastAsia="en-US"/>
              </w:rPr>
            </w:pPr>
            <w:r>
              <w:rPr>
                <w:rFonts w:cs="Arial"/>
                <w:iCs/>
                <w:color w:val="auto"/>
                <w:lang w:val="en-US" w:eastAsia="en-US"/>
              </w:rPr>
              <w:t>Pastoral Manager</w:t>
            </w:r>
            <w:r w:rsidR="00D703F8" w:rsidRPr="00275EB8">
              <w:rPr>
                <w:rFonts w:cs="Arial"/>
                <w:iCs/>
                <w:color w:val="auto"/>
                <w:lang w:val="en-US" w:eastAsia="en-US"/>
              </w:rPr>
              <w:t xml:space="preserve"> </w:t>
            </w:r>
            <w:r>
              <w:rPr>
                <w:rFonts w:cs="Arial"/>
                <w:iCs/>
                <w:color w:val="auto"/>
                <w:lang w:val="en-US" w:eastAsia="en-US"/>
              </w:rPr>
              <w:t>/</w:t>
            </w:r>
            <w:r w:rsidR="00D703F8" w:rsidRPr="00275EB8">
              <w:rPr>
                <w:rFonts w:cs="Arial"/>
                <w:iCs/>
                <w:color w:val="auto"/>
                <w:lang w:val="en-US" w:eastAsia="en-US"/>
              </w:rPr>
              <w:t>ELSA (Emotional literacy support assistant)</w:t>
            </w:r>
            <w:r>
              <w:rPr>
                <w:rFonts w:cs="Arial"/>
                <w:iCs/>
                <w:color w:val="auto"/>
                <w:lang w:val="en-US" w:eastAsia="en-US"/>
              </w:rPr>
              <w:t xml:space="preserve"> </w:t>
            </w:r>
            <w:r w:rsidR="00D703F8" w:rsidRPr="003D7ACE">
              <w:rPr>
                <w:rFonts w:cs="Arial"/>
                <w:iCs/>
                <w:color w:val="auto"/>
                <w:lang w:val="en-US" w:eastAsia="en-US"/>
              </w:rPr>
              <w:t>to deliver whole-school training and provide resources to support SEL</w:t>
            </w:r>
          </w:p>
          <w:p w14:paraId="7CC8D122" w14:textId="77777777" w:rsidR="00D703F8" w:rsidRPr="00275EB8" w:rsidRDefault="00D703F8" w:rsidP="002970A6">
            <w:pPr>
              <w:pStyle w:val="ListParagraph"/>
              <w:numPr>
                <w:ilvl w:val="0"/>
                <w:numId w:val="35"/>
              </w:numPr>
              <w:suppressAutoHyphens w:val="0"/>
              <w:autoSpaceDN/>
              <w:spacing w:line="240" w:lineRule="auto"/>
              <w:rPr>
                <w:rFonts w:cs="Arial"/>
                <w:iCs/>
                <w:color w:val="auto"/>
                <w:lang w:val="en-US" w:eastAsia="en-US"/>
              </w:rPr>
            </w:pPr>
            <w:r>
              <w:rPr>
                <w:rFonts w:cs="Arial"/>
                <w:iCs/>
                <w:color w:val="auto"/>
                <w:lang w:val="en-US" w:eastAsia="en-US"/>
              </w:rPr>
              <w:t>ELSA to receive supervision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BEDCD" w14:textId="77777777" w:rsidR="00D703F8" w:rsidRPr="00275EB8" w:rsidRDefault="00D703F8" w:rsidP="002970A6">
            <w:pPr>
              <w:pStyle w:val="TableRowCentered"/>
              <w:jc w:val="left"/>
              <w:rPr>
                <w:rFonts w:cs="Arial"/>
                <w:color w:val="auto"/>
                <w:szCs w:val="24"/>
              </w:rPr>
            </w:pPr>
            <w:r w:rsidRPr="00275EB8">
              <w:rPr>
                <w:rFonts w:cs="Arial"/>
                <w:color w:val="auto"/>
                <w:szCs w:val="24"/>
              </w:rPr>
              <w:t>There is extensive evidence associating childhood social and emotional skills with improved outcomes at school and in later life (e.g., improved academic performance, attitudes, behaviour and relationships with peers)</w:t>
            </w:r>
            <w:r>
              <w:rPr>
                <w:rFonts w:cs="Arial"/>
                <w:color w:val="auto"/>
                <w:szCs w:val="24"/>
              </w:rPr>
              <w:t>.</w:t>
            </w:r>
          </w:p>
          <w:p w14:paraId="47AEB367" w14:textId="77777777" w:rsidR="00D703F8" w:rsidRPr="00275EB8" w:rsidRDefault="00D703F8" w:rsidP="002970A6">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55FC5" w14:textId="77777777" w:rsidR="00D703F8" w:rsidRDefault="00D703F8" w:rsidP="002970A6">
            <w:pPr>
              <w:pStyle w:val="TableRowCentered"/>
              <w:jc w:val="left"/>
              <w:rPr>
                <w:color w:val="auto"/>
                <w:szCs w:val="24"/>
              </w:rPr>
            </w:pPr>
            <w:r>
              <w:rPr>
                <w:color w:val="auto"/>
                <w:szCs w:val="24"/>
              </w:rPr>
              <w:t>All</w:t>
            </w:r>
          </w:p>
          <w:p w14:paraId="78D7CAE0" w14:textId="77777777" w:rsidR="00D703F8" w:rsidRDefault="00D703F8" w:rsidP="002970A6">
            <w:pPr>
              <w:pStyle w:val="TableRowCentered"/>
              <w:jc w:val="left"/>
              <w:rPr>
                <w:color w:val="auto"/>
                <w:szCs w:val="24"/>
                <w:highlight w:val="yellow"/>
              </w:rPr>
            </w:pPr>
          </w:p>
          <w:p w14:paraId="098EEA11" w14:textId="3AF7B122" w:rsidR="00D703F8" w:rsidRDefault="00D703F8" w:rsidP="002970A6">
            <w:pPr>
              <w:pStyle w:val="TableRowCentered"/>
              <w:jc w:val="left"/>
              <w:rPr>
                <w:color w:val="auto"/>
                <w:szCs w:val="24"/>
                <w:highlight w:val="yellow"/>
              </w:rPr>
            </w:pPr>
          </w:p>
          <w:p w14:paraId="4B532A0F" w14:textId="508170F1" w:rsidR="003D7ACE" w:rsidRDefault="003D7ACE" w:rsidP="002970A6">
            <w:pPr>
              <w:pStyle w:val="TableRowCentered"/>
              <w:jc w:val="left"/>
              <w:rPr>
                <w:color w:val="auto"/>
                <w:szCs w:val="24"/>
                <w:highlight w:val="yellow"/>
              </w:rPr>
            </w:pPr>
          </w:p>
          <w:p w14:paraId="2470BB9D" w14:textId="7687DD2F" w:rsidR="003D7ACE" w:rsidRDefault="003D7ACE" w:rsidP="003D7ACE">
            <w:pPr>
              <w:pStyle w:val="TableRowCentered"/>
              <w:ind w:left="0"/>
              <w:jc w:val="left"/>
              <w:rPr>
                <w:color w:val="auto"/>
                <w:szCs w:val="24"/>
              </w:rPr>
            </w:pPr>
            <w:r>
              <w:rPr>
                <w:color w:val="auto"/>
                <w:szCs w:val="24"/>
              </w:rPr>
              <w:t xml:space="preserve">Proportion of </w:t>
            </w:r>
            <w:r w:rsidRPr="003D7ACE">
              <w:rPr>
                <w:color w:val="auto"/>
                <w:szCs w:val="24"/>
              </w:rPr>
              <w:t>Pastoral Manager</w:t>
            </w:r>
            <w:r>
              <w:rPr>
                <w:color w:val="auto"/>
                <w:szCs w:val="24"/>
              </w:rPr>
              <w:t>’s time:</w:t>
            </w:r>
          </w:p>
          <w:p w14:paraId="328C83A5" w14:textId="53A320E4" w:rsidR="003D7ACE" w:rsidRDefault="003D7ACE" w:rsidP="003D7ACE">
            <w:pPr>
              <w:pStyle w:val="TableRowCentered"/>
              <w:ind w:left="0"/>
              <w:jc w:val="left"/>
              <w:rPr>
                <w:color w:val="auto"/>
                <w:szCs w:val="24"/>
              </w:rPr>
            </w:pPr>
          </w:p>
          <w:p w14:paraId="34319D66" w14:textId="3B62EEE5" w:rsidR="003D7ACE" w:rsidRPr="003D7ACE" w:rsidRDefault="003D7ACE" w:rsidP="003D7ACE">
            <w:pPr>
              <w:pStyle w:val="TableRowCentered"/>
              <w:ind w:left="0"/>
              <w:jc w:val="left"/>
              <w:rPr>
                <w:color w:val="auto"/>
                <w:szCs w:val="24"/>
              </w:rPr>
            </w:pPr>
            <w:r>
              <w:rPr>
                <w:color w:val="auto"/>
                <w:szCs w:val="24"/>
              </w:rPr>
              <w:t>£10,000</w:t>
            </w:r>
          </w:p>
          <w:p w14:paraId="4AB636DD" w14:textId="77777777" w:rsidR="00D703F8" w:rsidRDefault="00D703F8" w:rsidP="002970A6">
            <w:pPr>
              <w:pStyle w:val="TableRowCentered"/>
              <w:jc w:val="left"/>
              <w:rPr>
                <w:color w:val="auto"/>
                <w:szCs w:val="24"/>
                <w:highlight w:val="yellow"/>
              </w:rPr>
            </w:pPr>
          </w:p>
          <w:p w14:paraId="4B6387F6" w14:textId="77777777" w:rsidR="00D703F8" w:rsidRDefault="00D703F8" w:rsidP="002970A6">
            <w:pPr>
              <w:pStyle w:val="TableRowCentered"/>
              <w:jc w:val="left"/>
              <w:rPr>
                <w:color w:val="auto"/>
                <w:szCs w:val="24"/>
                <w:highlight w:val="yellow"/>
              </w:rPr>
            </w:pPr>
          </w:p>
          <w:p w14:paraId="4463D3BD" w14:textId="77777777" w:rsidR="00D703F8" w:rsidRDefault="00D703F8" w:rsidP="002970A6">
            <w:pPr>
              <w:pStyle w:val="TableRowCentered"/>
              <w:jc w:val="left"/>
              <w:rPr>
                <w:color w:val="auto"/>
                <w:szCs w:val="24"/>
                <w:highlight w:val="yellow"/>
              </w:rPr>
            </w:pPr>
          </w:p>
          <w:p w14:paraId="44BEDEAA" w14:textId="77777777" w:rsidR="00D703F8" w:rsidRDefault="00D703F8" w:rsidP="002970A6">
            <w:pPr>
              <w:pStyle w:val="TableRowCentered"/>
              <w:jc w:val="left"/>
              <w:rPr>
                <w:color w:val="auto"/>
                <w:szCs w:val="24"/>
                <w:highlight w:val="yellow"/>
              </w:rPr>
            </w:pPr>
          </w:p>
          <w:p w14:paraId="6970F3E6" w14:textId="77777777" w:rsidR="00D703F8" w:rsidRPr="00AD2A1A" w:rsidRDefault="00D703F8" w:rsidP="002970A6">
            <w:pPr>
              <w:pStyle w:val="TableRowCentered"/>
              <w:ind w:left="0"/>
              <w:jc w:val="left"/>
              <w:rPr>
                <w:color w:val="auto"/>
                <w:szCs w:val="24"/>
              </w:rPr>
            </w:pPr>
          </w:p>
          <w:p w14:paraId="61A8571C" w14:textId="77777777" w:rsidR="00D703F8" w:rsidRDefault="00D703F8" w:rsidP="009104F7">
            <w:pPr>
              <w:pStyle w:val="TableRowCentered"/>
              <w:ind w:left="0"/>
              <w:rPr>
                <w:color w:val="auto"/>
                <w:szCs w:val="24"/>
                <w:highlight w:val="yellow"/>
              </w:rPr>
            </w:pPr>
          </w:p>
          <w:p w14:paraId="2D49BE16" w14:textId="1DB48688" w:rsidR="009104F7" w:rsidRPr="00E27862" w:rsidRDefault="009104F7" w:rsidP="009104F7">
            <w:pPr>
              <w:pStyle w:val="TableRowCentered"/>
              <w:ind w:left="0"/>
              <w:rPr>
                <w:color w:val="auto"/>
                <w:szCs w:val="24"/>
                <w:highlight w:val="yellow"/>
              </w:rPr>
            </w:pPr>
            <w:r w:rsidRPr="009104F7">
              <w:rPr>
                <w:color w:val="auto"/>
                <w:szCs w:val="24"/>
              </w:rPr>
              <w:t>£100</w:t>
            </w:r>
          </w:p>
        </w:tc>
      </w:tr>
      <w:bookmarkEnd w:id="18"/>
      <w:tr w:rsidR="009104F7" w:rsidRPr="00E27862" w14:paraId="3BE895CE" w14:textId="77777777" w:rsidTr="61C2FAD1">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052C0" w14:textId="240335BE" w:rsidR="009104F7" w:rsidRDefault="00AA2908" w:rsidP="00C26781">
            <w:pPr>
              <w:suppressAutoHyphens w:val="0"/>
              <w:autoSpaceDN/>
              <w:spacing w:line="240" w:lineRule="auto"/>
              <w:ind w:left="720" w:hanging="360"/>
              <w:rPr>
                <w:rFonts w:cs="Arial"/>
                <w:iCs/>
                <w:color w:val="auto"/>
                <w:lang w:val="en-US" w:eastAsia="en-US"/>
              </w:rPr>
            </w:pPr>
            <w:r>
              <w:rPr>
                <w:rFonts w:cs="Arial"/>
                <w:iCs/>
                <w:color w:val="auto"/>
                <w:lang w:val="en-US" w:eastAsia="en-US"/>
              </w:rPr>
              <w:t>Recruitment and retention of teaching staff</w:t>
            </w:r>
          </w:p>
          <w:p w14:paraId="2A317106" w14:textId="7960374F" w:rsidR="00AA2908" w:rsidRDefault="00AA2908" w:rsidP="00C26781">
            <w:pPr>
              <w:suppressAutoHyphens w:val="0"/>
              <w:autoSpaceDN/>
              <w:spacing w:line="240" w:lineRule="auto"/>
              <w:ind w:left="720" w:hanging="360"/>
              <w:rPr>
                <w:rFonts w:cs="Arial"/>
                <w:iCs/>
                <w:color w:val="auto"/>
                <w:lang w:val="en-US" w:eastAsia="en-US"/>
              </w:rPr>
            </w:pPr>
            <w:r>
              <w:rPr>
                <w:rFonts w:cs="Arial"/>
                <w:iCs/>
                <w:color w:val="auto"/>
                <w:lang w:val="en-US" w:eastAsia="en-US"/>
              </w:rPr>
              <w:t>Retention TLR for outstanding teacher</w:t>
            </w:r>
          </w:p>
          <w:p w14:paraId="0FE45905" w14:textId="27B92BC1" w:rsidR="00AA2908" w:rsidRPr="00AA2908" w:rsidRDefault="00AA2908" w:rsidP="00AA2908">
            <w:pPr>
              <w:suppressAutoHyphens w:val="0"/>
              <w:autoSpaceDN/>
              <w:spacing w:line="240" w:lineRule="auto"/>
              <w:ind w:left="720" w:hanging="360"/>
              <w:jc w:val="both"/>
              <w:rPr>
                <w:rFonts w:cs="Arial"/>
                <w:iCs/>
                <w:color w:val="auto"/>
                <w:lang w:val="en-US"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7A860" w14:textId="6B0AAC64" w:rsidR="009104F7" w:rsidRPr="00275EB8" w:rsidRDefault="00C26781" w:rsidP="00C26781">
            <w:pPr>
              <w:pStyle w:val="TableRowCentered"/>
              <w:ind w:left="0"/>
              <w:jc w:val="left"/>
              <w:rPr>
                <w:color w:val="auto"/>
                <w:szCs w:val="24"/>
              </w:rPr>
            </w:pPr>
            <w:r>
              <w:rPr>
                <w:color w:val="auto"/>
                <w:szCs w:val="24"/>
              </w:rPr>
              <w:t>Consistently good or outstanding teaching has significant impact on pupil progress.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4DC37" w14:textId="77777777" w:rsidR="009104F7" w:rsidRDefault="009104F7" w:rsidP="00904A58">
            <w:pPr>
              <w:pStyle w:val="TableRowCentered"/>
              <w:ind w:left="0"/>
              <w:rPr>
                <w:color w:val="auto"/>
                <w:szCs w:val="24"/>
              </w:rPr>
            </w:pPr>
            <w:r>
              <w:rPr>
                <w:color w:val="auto"/>
                <w:szCs w:val="24"/>
              </w:rPr>
              <w:t>All</w:t>
            </w:r>
          </w:p>
          <w:p w14:paraId="58E06FE1" w14:textId="77777777" w:rsidR="00AA2908" w:rsidRDefault="00AA2908" w:rsidP="00904A58">
            <w:pPr>
              <w:pStyle w:val="TableRowCentered"/>
              <w:ind w:left="0"/>
              <w:rPr>
                <w:color w:val="auto"/>
                <w:szCs w:val="24"/>
                <w:highlight w:val="yellow"/>
              </w:rPr>
            </w:pPr>
          </w:p>
          <w:p w14:paraId="319F00A5" w14:textId="39EBAD17" w:rsidR="00C26781" w:rsidRPr="00E27862" w:rsidRDefault="29F39243" w:rsidP="61C2FAD1">
            <w:pPr>
              <w:pStyle w:val="TableRowCentered"/>
              <w:ind w:left="0"/>
              <w:jc w:val="left"/>
              <w:rPr>
                <w:color w:val="auto"/>
              </w:rPr>
            </w:pPr>
            <w:r w:rsidRPr="61C2FAD1">
              <w:rPr>
                <w:color w:val="auto"/>
              </w:rPr>
              <w:t>£</w:t>
            </w:r>
            <w:r w:rsidR="7D1189A1" w:rsidRPr="61C2FAD1">
              <w:rPr>
                <w:color w:val="auto"/>
              </w:rPr>
              <w:t>2,</w:t>
            </w:r>
            <w:r w:rsidR="65D006A6" w:rsidRPr="61C2FAD1">
              <w:rPr>
                <w:color w:val="auto"/>
              </w:rPr>
              <w:t>873</w:t>
            </w:r>
          </w:p>
        </w:tc>
      </w:tr>
    </w:tbl>
    <w:p w14:paraId="5C9403F1" w14:textId="77777777" w:rsidR="00D703F8" w:rsidRDefault="00D703F8" w:rsidP="00D703F8">
      <w:pPr>
        <w:keepNext/>
        <w:spacing w:after="60"/>
        <w:outlineLvl w:val="1"/>
      </w:pPr>
    </w:p>
    <w:p w14:paraId="35681A3B" w14:textId="77777777" w:rsidR="00D703F8" w:rsidRDefault="00D703F8" w:rsidP="00D703F8">
      <w:pPr>
        <w:spacing w:before="240"/>
        <w:rPr>
          <w:b/>
          <w:bCs/>
          <w:color w:val="104F75"/>
          <w:sz w:val="28"/>
          <w:szCs w:val="28"/>
        </w:rPr>
      </w:pPr>
      <w:r>
        <w:rPr>
          <w:b/>
          <w:bCs/>
          <w:color w:val="104F75"/>
          <w:sz w:val="28"/>
          <w:szCs w:val="28"/>
        </w:rPr>
        <w:t xml:space="preserve">Targeted academic support (for example, tutoring, one-to-one support structured interventions) </w:t>
      </w:r>
    </w:p>
    <w:p w14:paraId="75C31B07" w14:textId="3C2BA61E" w:rsidR="00D703F8" w:rsidRDefault="00D703F8" w:rsidP="61C2FAD1">
      <w:pPr>
        <w:rPr>
          <w:b/>
          <w:bCs/>
          <w:color w:val="auto"/>
        </w:rPr>
      </w:pPr>
      <w:r>
        <w:t xml:space="preserve">Budgeted cost: </w:t>
      </w:r>
      <w:r w:rsidRPr="61C2FAD1">
        <w:rPr>
          <w:b/>
          <w:bCs/>
          <w:color w:val="auto"/>
        </w:rPr>
        <w:t>£</w:t>
      </w:r>
      <w:r w:rsidR="1D027327" w:rsidRPr="61C2FAD1">
        <w:rPr>
          <w:b/>
          <w:bCs/>
          <w:color w:val="auto"/>
        </w:rPr>
        <w:t>87,378.00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D703F8" w14:paraId="0A78BA43" w14:textId="77777777" w:rsidTr="61C2FAD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8F0D454" w14:textId="77777777" w:rsidR="00D703F8" w:rsidRDefault="00D703F8" w:rsidP="002970A6">
            <w:pPr>
              <w:pStyle w:val="TableHeader"/>
              <w:jc w:val="left"/>
            </w:pPr>
            <w:r>
              <w:t>Activity</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0E6CDD" w14:textId="77777777" w:rsidR="00D703F8" w:rsidRDefault="00D703F8" w:rsidP="002970A6">
            <w:pPr>
              <w:pStyle w:val="TableHeader"/>
              <w:jc w:val="left"/>
            </w:pPr>
            <w:r>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67325AB" w14:textId="77777777" w:rsidR="00D703F8" w:rsidRDefault="00D703F8" w:rsidP="002970A6">
            <w:pPr>
              <w:pStyle w:val="TableHeader"/>
              <w:jc w:val="left"/>
            </w:pPr>
            <w:r>
              <w:t>Challenge number(s) addressed</w:t>
            </w:r>
          </w:p>
        </w:tc>
      </w:tr>
      <w:tr w:rsidR="00D703F8" w14:paraId="1C4E0C88" w14:textId="77777777" w:rsidTr="61C2FAD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E451A" w14:textId="77777777" w:rsidR="00D703F8" w:rsidRDefault="00D703F8" w:rsidP="002970A6">
            <w:pPr>
              <w:pStyle w:val="TableRow"/>
              <w:spacing w:after="120"/>
              <w:ind w:left="0"/>
              <w:rPr>
                <w:rFonts w:cs="Arial"/>
                <w:color w:val="auto"/>
                <w:lang w:val="en-US"/>
              </w:rPr>
            </w:pPr>
            <w:r w:rsidRPr="007D4E98">
              <w:rPr>
                <w:rFonts w:cs="Arial"/>
                <w:color w:val="auto"/>
                <w:lang w:val="en-US"/>
              </w:rPr>
              <w:t xml:space="preserve">SALT Specialist </w:t>
            </w:r>
            <w:r>
              <w:rPr>
                <w:rFonts w:cs="Arial"/>
                <w:color w:val="auto"/>
                <w:lang w:val="en-US"/>
              </w:rPr>
              <w:t>to provide ½ day support each week.</w:t>
            </w:r>
          </w:p>
          <w:p w14:paraId="70FDC917" w14:textId="77777777" w:rsidR="00D703F8" w:rsidRPr="007D4E98" w:rsidRDefault="00D703F8" w:rsidP="002970A6">
            <w:pPr>
              <w:pStyle w:val="TableRow"/>
              <w:spacing w:after="120"/>
              <w:rPr>
                <w:rFonts w:cs="Arial"/>
                <w:color w:val="auto"/>
                <w:lang w:val="en-US"/>
              </w:rPr>
            </w:pPr>
            <w:r>
              <w:rPr>
                <w:rFonts w:cs="Arial"/>
                <w:color w:val="auto"/>
                <w:lang w:val="en-US"/>
              </w:rPr>
              <w:t>Trained teaching assistant to provide wider SALT interventions across the school every afternoon</w:t>
            </w:r>
          </w:p>
          <w:p w14:paraId="53185E9B" w14:textId="77777777" w:rsidR="00D703F8" w:rsidRPr="0045371B" w:rsidRDefault="00D703F8" w:rsidP="002970A6">
            <w:pPr>
              <w:pStyle w:val="TableRow"/>
              <w:spacing w:after="120"/>
              <w:rPr>
                <w:rFonts w:cs="Arial"/>
                <w:b/>
                <w:bCs/>
                <w:color w:val="auto"/>
                <w:highlight w:val="yellow"/>
                <w:lang w:val="en-U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245D6" w14:textId="77777777" w:rsidR="00D703F8" w:rsidRPr="007D4E98" w:rsidRDefault="00D703F8" w:rsidP="002970A6">
            <w:pPr>
              <w:pStyle w:val="TableRowCentered"/>
              <w:jc w:val="left"/>
              <w:rPr>
                <w:rFonts w:cs="Arial"/>
                <w:color w:val="auto"/>
                <w:szCs w:val="24"/>
              </w:rPr>
            </w:pPr>
            <w:r w:rsidRPr="007D4E98">
              <w:rPr>
                <w:rFonts w:cs="Arial"/>
                <w:color w:val="auto"/>
                <w:szCs w:val="24"/>
              </w:rPr>
              <w:lastRenderedPageBreak/>
              <w:t>Oral language interventions can have a positive impact on pupils’ language skills. Approaches that focus on speaking, listening and a combination of the two show positive impacts on attainment:</w:t>
            </w:r>
          </w:p>
          <w:p w14:paraId="316E014E" w14:textId="77777777" w:rsidR="00D703F8" w:rsidRPr="007D4E98" w:rsidRDefault="00DA2477" w:rsidP="002970A6">
            <w:pPr>
              <w:pStyle w:val="TableRowCentered"/>
              <w:spacing w:after="120"/>
              <w:jc w:val="left"/>
              <w:rPr>
                <w:color w:val="0070C0"/>
                <w:szCs w:val="24"/>
              </w:rPr>
            </w:pPr>
            <w:hyperlink r:id="rId17" w:history="1">
              <w:r w:rsidR="00D703F8" w:rsidRPr="007D4E98">
                <w:rPr>
                  <w:color w:val="0070C0"/>
                  <w:szCs w:val="24"/>
                  <w:u w:val="single"/>
                </w:rPr>
                <w:t>Oral language interventions | EEF (educationendowmentfoundation.org.uk)</w:t>
              </w:r>
            </w:hyperlink>
          </w:p>
          <w:p w14:paraId="6434C9A7" w14:textId="77777777" w:rsidR="00D703F8" w:rsidRPr="007D4E98" w:rsidRDefault="00D703F8" w:rsidP="002970A6">
            <w:pPr>
              <w:pStyle w:val="TableRowCentered"/>
              <w:spacing w:after="120"/>
              <w:jc w:val="left"/>
              <w:rPr>
                <w:color w:val="auto"/>
                <w:szCs w:val="24"/>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8EDF9" w14:textId="77777777" w:rsidR="00D703F8" w:rsidRDefault="00D703F8" w:rsidP="002970A6">
            <w:pPr>
              <w:pStyle w:val="TableRowCentered"/>
              <w:jc w:val="left"/>
              <w:rPr>
                <w:color w:val="auto"/>
                <w:szCs w:val="22"/>
              </w:rPr>
            </w:pPr>
            <w:r w:rsidRPr="00295351">
              <w:rPr>
                <w:color w:val="auto"/>
                <w:szCs w:val="22"/>
              </w:rPr>
              <w:t>1,</w:t>
            </w:r>
            <w:r>
              <w:rPr>
                <w:color w:val="auto"/>
                <w:szCs w:val="22"/>
              </w:rPr>
              <w:t>2,</w:t>
            </w:r>
            <w:r w:rsidRPr="00295351">
              <w:rPr>
                <w:color w:val="auto"/>
                <w:szCs w:val="22"/>
              </w:rPr>
              <w:t xml:space="preserve"> 4</w:t>
            </w:r>
          </w:p>
          <w:p w14:paraId="353E4F49" w14:textId="77777777" w:rsidR="00D703F8" w:rsidRDefault="00D703F8" w:rsidP="002970A6">
            <w:pPr>
              <w:pStyle w:val="TableRowCentered"/>
              <w:ind w:left="0"/>
              <w:jc w:val="left"/>
              <w:rPr>
                <w:color w:val="auto"/>
                <w:szCs w:val="22"/>
              </w:rPr>
            </w:pPr>
          </w:p>
          <w:p w14:paraId="32747797" w14:textId="77777777" w:rsidR="00D703F8" w:rsidRDefault="00D703F8" w:rsidP="002970A6">
            <w:pPr>
              <w:pStyle w:val="TableRowCentered"/>
              <w:ind w:left="0"/>
              <w:jc w:val="left"/>
              <w:rPr>
                <w:color w:val="auto"/>
                <w:szCs w:val="22"/>
              </w:rPr>
            </w:pPr>
          </w:p>
          <w:p w14:paraId="705BA176" w14:textId="316F1F35" w:rsidR="00D703F8" w:rsidRPr="00295351" w:rsidRDefault="64BA85DD" w:rsidP="61C2FAD1">
            <w:pPr>
              <w:pStyle w:val="TableRowCentered"/>
              <w:ind w:left="0"/>
              <w:jc w:val="left"/>
              <w:rPr>
                <w:color w:val="auto"/>
              </w:rPr>
            </w:pPr>
            <w:r w:rsidRPr="61C2FAD1">
              <w:rPr>
                <w:color w:val="auto"/>
              </w:rPr>
              <w:t>£8316</w:t>
            </w:r>
          </w:p>
          <w:p w14:paraId="391CAE0D" w14:textId="652ED398" w:rsidR="00D703F8" w:rsidRPr="00295351" w:rsidRDefault="64BA85DD" w:rsidP="61C2FAD1">
            <w:pPr>
              <w:pStyle w:val="TableRowCentered"/>
              <w:ind w:left="0"/>
              <w:jc w:val="left"/>
              <w:rPr>
                <w:color w:val="0D0D0D" w:themeColor="text1" w:themeTint="F2"/>
                <w:szCs w:val="24"/>
              </w:rPr>
            </w:pPr>
            <w:r w:rsidRPr="61C2FAD1">
              <w:rPr>
                <w:color w:val="auto"/>
                <w:szCs w:val="24"/>
              </w:rPr>
              <w:t>£15,000</w:t>
            </w:r>
          </w:p>
        </w:tc>
      </w:tr>
      <w:tr w:rsidR="00D703F8" w14:paraId="4E6CC2DA" w14:textId="77777777" w:rsidTr="61C2FAD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D9F8F" w14:textId="77777777" w:rsidR="00D703F8" w:rsidRPr="0045371B" w:rsidRDefault="00D703F8" w:rsidP="002970A6">
            <w:pPr>
              <w:pStyle w:val="TableRow"/>
              <w:spacing w:after="120"/>
              <w:rPr>
                <w:rFonts w:cs="Arial"/>
                <w:color w:val="auto"/>
                <w:lang w:val="en-US"/>
              </w:rPr>
            </w:pPr>
            <w:r w:rsidRPr="2F6B47BC">
              <w:rPr>
                <w:rFonts w:cs="Arial"/>
                <w:color w:val="auto"/>
                <w:lang w:val="en-US"/>
              </w:rPr>
              <w:t xml:space="preserve">Standards Teachers </w:t>
            </w:r>
            <w:r>
              <w:rPr>
                <w:rFonts w:cs="Arial"/>
                <w:color w:val="auto"/>
                <w:lang w:val="en-US"/>
              </w:rPr>
              <w:t xml:space="preserve">and additional teaching assistants to deliver </w:t>
            </w:r>
            <w:r>
              <w:rPr>
                <w:rFonts w:cs="Arial"/>
                <w:iCs/>
                <w:color w:val="auto"/>
                <w:lang w:val="en-US"/>
              </w:rPr>
              <w:t>S</w:t>
            </w:r>
            <w:r w:rsidRPr="00E27862">
              <w:rPr>
                <w:rFonts w:cs="Arial"/>
                <w:iCs/>
                <w:color w:val="auto"/>
                <w:lang w:val="en-US"/>
              </w:rPr>
              <w:t>chool-led tutoring for pupils whose education has been most impacted by the pandemic. A significant proportion of the pupils who receive tutoring will be disadvantaged, including those who are high attainers.</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F2CF6" w14:textId="77777777" w:rsidR="00D703F8" w:rsidRPr="00E27862" w:rsidRDefault="00D703F8" w:rsidP="002970A6">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792C89B1" w14:textId="77777777" w:rsidR="00D703F8" w:rsidRPr="00094874" w:rsidRDefault="00DA2477" w:rsidP="002970A6">
            <w:pPr>
              <w:suppressAutoHyphens w:val="0"/>
              <w:autoSpaceDN/>
              <w:spacing w:before="60" w:after="60" w:line="240" w:lineRule="auto"/>
              <w:ind w:left="57" w:right="57"/>
              <w:rPr>
                <w:color w:val="0070C0"/>
              </w:rPr>
            </w:pPr>
            <w:hyperlink r:id="rId18" w:history="1">
              <w:r w:rsidR="00D703F8" w:rsidRPr="00094874">
                <w:rPr>
                  <w:color w:val="0070C0"/>
                  <w:u w:val="single"/>
                </w:rPr>
                <w:t>One to one tuition | EEF (educationendowmentfoundation.org.uk)</w:t>
              </w:r>
            </w:hyperlink>
          </w:p>
          <w:p w14:paraId="3CAB5193" w14:textId="77777777" w:rsidR="00D703F8" w:rsidRPr="00E27862" w:rsidRDefault="00D703F8" w:rsidP="002970A6">
            <w:pPr>
              <w:suppressAutoHyphens w:val="0"/>
              <w:autoSpaceDN/>
              <w:spacing w:before="60" w:after="60" w:line="240" w:lineRule="auto"/>
              <w:ind w:left="57" w:right="57"/>
              <w:rPr>
                <w:color w:val="auto"/>
              </w:rPr>
            </w:pPr>
            <w:r w:rsidRPr="00E27862">
              <w:rPr>
                <w:color w:val="auto"/>
              </w:rPr>
              <w:t>And in small groups:</w:t>
            </w:r>
          </w:p>
          <w:p w14:paraId="13653B10" w14:textId="77777777" w:rsidR="00D703F8" w:rsidRPr="00E27862" w:rsidRDefault="00DA2477" w:rsidP="002970A6">
            <w:pPr>
              <w:suppressAutoHyphens w:val="0"/>
              <w:autoSpaceDN/>
              <w:spacing w:before="60" w:after="120" w:line="240" w:lineRule="auto"/>
              <w:ind w:left="57" w:right="57"/>
              <w:rPr>
                <w:color w:val="auto"/>
                <w:u w:val="single"/>
              </w:rPr>
            </w:pPr>
            <w:hyperlink r:id="rId19" w:history="1">
              <w:r w:rsidR="00D703F8" w:rsidRPr="009A7AA4">
                <w:rPr>
                  <w:color w:val="0070C0"/>
                  <w:u w:val="single"/>
                </w:rPr>
                <w:t>Small group tuition | Toolkit Strand | Education Endowment Foundation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7934E" w14:textId="77777777" w:rsidR="00D703F8" w:rsidRDefault="00D703F8" w:rsidP="002970A6">
            <w:pPr>
              <w:pStyle w:val="TableRowCentered"/>
              <w:jc w:val="left"/>
              <w:rPr>
                <w:color w:val="auto"/>
                <w:szCs w:val="22"/>
              </w:rPr>
            </w:pPr>
            <w:r w:rsidRPr="00295351">
              <w:rPr>
                <w:color w:val="auto"/>
                <w:szCs w:val="22"/>
              </w:rPr>
              <w:t>4</w:t>
            </w:r>
          </w:p>
          <w:p w14:paraId="6E1D9BAC" w14:textId="338A32C2" w:rsidR="003D7ACE" w:rsidRDefault="137B4AA5" w:rsidP="003D7ACE">
            <w:pPr>
              <w:pStyle w:val="TableRowCentered"/>
              <w:ind w:left="0"/>
              <w:jc w:val="left"/>
              <w:rPr>
                <w:color w:val="auto"/>
                <w:szCs w:val="22"/>
              </w:rPr>
            </w:pPr>
            <w:r w:rsidRPr="61C2FAD1">
              <w:rPr>
                <w:color w:val="auto"/>
              </w:rPr>
              <w:t>177 pupils:</w:t>
            </w:r>
          </w:p>
          <w:p w14:paraId="049D45BD" w14:textId="731527BA" w:rsidR="63EE8D7C" w:rsidRDefault="63EE8D7C" w:rsidP="61C2FAD1">
            <w:pPr>
              <w:pStyle w:val="TableRowCentered"/>
              <w:spacing w:line="259" w:lineRule="auto"/>
              <w:ind w:left="0"/>
              <w:jc w:val="left"/>
              <w:rPr>
                <w:color w:val="0D0D0D" w:themeColor="text1" w:themeTint="F2"/>
                <w:szCs w:val="24"/>
              </w:rPr>
            </w:pPr>
            <w:r w:rsidRPr="61C2FAD1">
              <w:rPr>
                <w:color w:val="auto"/>
              </w:rPr>
              <w:t>£ 22, 800</w:t>
            </w:r>
          </w:p>
          <w:p w14:paraId="79F21F59" w14:textId="35556AEF" w:rsidR="63EE8D7C" w:rsidRDefault="63EE8D7C" w:rsidP="61C2FAD1">
            <w:pPr>
              <w:pStyle w:val="TableRowCentered"/>
              <w:spacing w:line="259" w:lineRule="auto"/>
              <w:ind w:left="0"/>
              <w:jc w:val="left"/>
              <w:rPr>
                <w:color w:val="auto"/>
                <w:szCs w:val="24"/>
              </w:rPr>
            </w:pPr>
            <w:r w:rsidRPr="61C2FAD1">
              <w:rPr>
                <w:color w:val="auto"/>
                <w:szCs w:val="24"/>
              </w:rPr>
              <w:t>+</w:t>
            </w:r>
          </w:p>
          <w:p w14:paraId="67D7C7BD" w14:textId="4790AD86" w:rsidR="63EE8D7C" w:rsidRDefault="63EE8D7C" w:rsidP="61C2FAD1">
            <w:pPr>
              <w:pStyle w:val="TableRowCentered"/>
              <w:spacing w:line="259" w:lineRule="auto"/>
              <w:ind w:left="0"/>
              <w:jc w:val="left"/>
              <w:rPr>
                <w:color w:val="0D0D0D" w:themeColor="text1" w:themeTint="F2"/>
                <w:szCs w:val="24"/>
              </w:rPr>
            </w:pPr>
            <w:r w:rsidRPr="61C2FAD1">
              <w:rPr>
                <w:color w:val="auto"/>
                <w:szCs w:val="24"/>
              </w:rPr>
              <w:t>£15,200</w:t>
            </w:r>
          </w:p>
          <w:p w14:paraId="355F2F75" w14:textId="77777777" w:rsidR="00C15BF4" w:rsidRDefault="00C15BF4" w:rsidP="003D7ACE">
            <w:pPr>
              <w:pStyle w:val="TableRowCentered"/>
              <w:ind w:left="0"/>
              <w:jc w:val="left"/>
              <w:rPr>
                <w:color w:val="auto"/>
                <w:szCs w:val="22"/>
              </w:rPr>
            </w:pPr>
          </w:p>
          <w:p w14:paraId="2E56F55E" w14:textId="77777777" w:rsidR="00C15BF4" w:rsidRDefault="00C15BF4" w:rsidP="003D7ACE">
            <w:pPr>
              <w:pStyle w:val="TableRowCentered"/>
              <w:ind w:left="0"/>
              <w:jc w:val="left"/>
              <w:rPr>
                <w:color w:val="auto"/>
                <w:szCs w:val="22"/>
              </w:rPr>
            </w:pPr>
            <w:r>
              <w:rPr>
                <w:color w:val="auto"/>
                <w:szCs w:val="22"/>
              </w:rPr>
              <w:t>Standards teacher (5 days):</w:t>
            </w:r>
          </w:p>
          <w:p w14:paraId="4F899188" w14:textId="77777777" w:rsidR="00C15BF4" w:rsidRDefault="00C15BF4" w:rsidP="003D7ACE">
            <w:pPr>
              <w:pStyle w:val="TableRowCentered"/>
              <w:ind w:left="0"/>
              <w:jc w:val="left"/>
              <w:rPr>
                <w:color w:val="auto"/>
                <w:szCs w:val="22"/>
              </w:rPr>
            </w:pPr>
          </w:p>
          <w:p w14:paraId="7FB85DA9" w14:textId="77777777" w:rsidR="00C15BF4" w:rsidRDefault="6684C297" w:rsidP="003D7ACE">
            <w:pPr>
              <w:pStyle w:val="TableRowCentered"/>
              <w:ind w:left="0"/>
              <w:jc w:val="left"/>
              <w:rPr>
                <w:color w:val="auto"/>
                <w:szCs w:val="22"/>
              </w:rPr>
            </w:pPr>
            <w:r w:rsidRPr="61C2FAD1">
              <w:rPr>
                <w:color w:val="auto"/>
              </w:rPr>
              <w:t>Teaching Assistants:</w:t>
            </w:r>
          </w:p>
          <w:p w14:paraId="5AB80164" w14:textId="7F5FE8ED" w:rsidR="61C2FAD1" w:rsidRDefault="61C2FAD1" w:rsidP="61C2FAD1">
            <w:pPr>
              <w:pStyle w:val="TableRowCentered"/>
              <w:ind w:left="0"/>
              <w:jc w:val="left"/>
              <w:rPr>
                <w:color w:val="0D0D0D" w:themeColor="text1" w:themeTint="F2"/>
                <w:szCs w:val="24"/>
              </w:rPr>
            </w:pPr>
          </w:p>
          <w:p w14:paraId="1F586EF1" w14:textId="19227812" w:rsidR="734652D8" w:rsidRDefault="734652D8" w:rsidP="61C2FAD1">
            <w:pPr>
              <w:pStyle w:val="TableRowCentered"/>
              <w:spacing w:line="259" w:lineRule="auto"/>
              <w:ind w:left="0"/>
              <w:jc w:val="left"/>
              <w:rPr>
                <w:color w:val="0D0D0D" w:themeColor="text1" w:themeTint="F2"/>
                <w:szCs w:val="24"/>
              </w:rPr>
            </w:pPr>
            <w:r w:rsidRPr="61C2FAD1">
              <w:rPr>
                <w:color w:val="auto"/>
                <w:szCs w:val="24"/>
              </w:rPr>
              <w:t>£26, 062</w:t>
            </w:r>
          </w:p>
          <w:p w14:paraId="7511FEE6" w14:textId="2E3699D5" w:rsidR="00C15BF4" w:rsidRPr="00295351" w:rsidRDefault="00C15BF4" w:rsidP="003D7ACE">
            <w:pPr>
              <w:pStyle w:val="TableRowCentered"/>
              <w:ind w:left="0"/>
              <w:jc w:val="left"/>
              <w:rPr>
                <w:color w:val="auto"/>
                <w:szCs w:val="22"/>
              </w:rPr>
            </w:pPr>
          </w:p>
        </w:tc>
      </w:tr>
    </w:tbl>
    <w:p w14:paraId="76B9CD5F" w14:textId="77777777" w:rsidR="00D703F8" w:rsidRDefault="00D703F8" w:rsidP="00D703F8">
      <w:pPr>
        <w:spacing w:before="480"/>
        <w:rPr>
          <w:b/>
          <w:color w:val="104F75"/>
          <w:sz w:val="28"/>
          <w:szCs w:val="28"/>
        </w:rPr>
      </w:pPr>
      <w:r>
        <w:rPr>
          <w:b/>
          <w:color w:val="104F75"/>
          <w:sz w:val="28"/>
          <w:szCs w:val="28"/>
        </w:rPr>
        <w:t>Wider strategies (for example, related to attendance, behaviour, wellbeing)</w:t>
      </w:r>
    </w:p>
    <w:p w14:paraId="5108B69D" w14:textId="54B79109" w:rsidR="00D703F8" w:rsidRDefault="00D703F8" w:rsidP="61C2FAD1">
      <w:pPr>
        <w:spacing w:before="240"/>
        <w:rPr>
          <w:b/>
          <w:bCs/>
          <w:color w:val="auto"/>
        </w:rPr>
      </w:pPr>
      <w:r>
        <w:t xml:space="preserve">Budgeted cost: </w:t>
      </w:r>
      <w:r w:rsidRPr="61C2FAD1">
        <w:rPr>
          <w:b/>
          <w:bCs/>
          <w:color w:val="auto"/>
        </w:rPr>
        <w:t>£</w:t>
      </w:r>
      <w:r w:rsidR="03CD2278" w:rsidRPr="61C2FAD1">
        <w:rPr>
          <w:b/>
          <w:bCs/>
          <w:color w:val="auto"/>
        </w:rPr>
        <w:t>140,372.00</w:t>
      </w:r>
    </w:p>
    <w:tbl>
      <w:tblPr>
        <w:tblW w:w="9486" w:type="dxa"/>
        <w:tblLayout w:type="fixed"/>
        <w:tblCellMar>
          <w:left w:w="10" w:type="dxa"/>
          <w:right w:w="10" w:type="dxa"/>
        </w:tblCellMar>
        <w:tblLook w:val="04A0" w:firstRow="1" w:lastRow="0" w:firstColumn="1" w:lastColumn="0" w:noHBand="0" w:noVBand="1"/>
      </w:tblPr>
      <w:tblGrid>
        <w:gridCol w:w="4248"/>
        <w:gridCol w:w="3540"/>
        <w:gridCol w:w="1698"/>
      </w:tblGrid>
      <w:tr w:rsidR="00D703F8" w14:paraId="56C3B2BB" w14:textId="77777777" w:rsidTr="61C2FAD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6527DAD" w14:textId="77777777" w:rsidR="00D703F8" w:rsidRDefault="00D703F8" w:rsidP="002970A6">
            <w:pPr>
              <w:pStyle w:val="TableHeader"/>
              <w:jc w:val="left"/>
            </w:pPr>
            <w:r>
              <w:t>Activity</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5AC2B1E" w14:textId="77777777" w:rsidR="00D703F8" w:rsidRDefault="00D703F8" w:rsidP="002970A6">
            <w:pPr>
              <w:pStyle w:val="TableHeader"/>
              <w:jc w:val="left"/>
            </w:pPr>
            <w:r>
              <w:t>Evidence that supports this approach</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8FEEC80" w14:textId="77777777" w:rsidR="00D703F8" w:rsidRDefault="00D703F8" w:rsidP="002970A6">
            <w:pPr>
              <w:pStyle w:val="TableHeader"/>
              <w:jc w:val="left"/>
            </w:pPr>
            <w:r>
              <w:t>Challenge number(s) addressed</w:t>
            </w:r>
          </w:p>
        </w:tc>
      </w:tr>
      <w:tr w:rsidR="00D703F8" w:rsidRPr="00380251" w14:paraId="7BE4EA55" w14:textId="77777777" w:rsidTr="61C2FAD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C8DAC" w14:textId="77777777" w:rsidR="00D703F8" w:rsidRPr="00E27862" w:rsidRDefault="00D703F8" w:rsidP="002970A6">
            <w:pPr>
              <w:pStyle w:val="TableRow"/>
              <w:spacing w:after="120"/>
              <w:ind w:left="0"/>
              <w:rPr>
                <w:iCs/>
                <w:color w:val="auto"/>
                <w:szCs w:val="28"/>
                <w:lang w:val="en-US"/>
              </w:rPr>
            </w:pPr>
            <w:r>
              <w:rPr>
                <w:iCs/>
                <w:color w:val="auto"/>
                <w:szCs w:val="28"/>
                <w:lang w:val="en-US"/>
              </w:rPr>
              <w:t xml:space="preserve">Designated administrator to manage and monitor attendance, working with designated senior leader and senior learning mentor to deliver Early Help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3BBE0" w14:textId="77777777" w:rsidR="00D703F8" w:rsidRPr="00E27862" w:rsidRDefault="00D703F8" w:rsidP="002970A6">
            <w:pPr>
              <w:pStyle w:val="TableRowCentered"/>
              <w:jc w:val="left"/>
              <w:rPr>
                <w:color w:val="auto"/>
              </w:rPr>
            </w:pPr>
            <w:r w:rsidRPr="00E27862">
              <w:rPr>
                <w:color w:val="auto"/>
              </w:rPr>
              <w:t xml:space="preserve">The DfE guidance has been informed by engagement with schools that have significantly reduced levels of absence and persistent absence.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B69A6" w14:textId="77777777" w:rsidR="00D703F8" w:rsidRDefault="00D703F8" w:rsidP="002970A6">
            <w:pPr>
              <w:pStyle w:val="TableRowCentered"/>
              <w:jc w:val="left"/>
              <w:rPr>
                <w:color w:val="auto"/>
                <w:sz w:val="22"/>
              </w:rPr>
            </w:pPr>
            <w:r>
              <w:rPr>
                <w:color w:val="auto"/>
                <w:sz w:val="22"/>
              </w:rPr>
              <w:t>All</w:t>
            </w:r>
          </w:p>
          <w:p w14:paraId="02E0E717" w14:textId="77777777" w:rsidR="00D703F8" w:rsidRDefault="00D703F8" w:rsidP="002970A6">
            <w:pPr>
              <w:pStyle w:val="TableRowCentered"/>
              <w:jc w:val="left"/>
              <w:rPr>
                <w:color w:val="auto"/>
                <w:sz w:val="22"/>
              </w:rPr>
            </w:pPr>
          </w:p>
          <w:p w14:paraId="090E1269" w14:textId="3F5F0B03" w:rsidR="00D703F8" w:rsidRPr="00E27862" w:rsidRDefault="091D8CC0" w:rsidP="61C2FAD1">
            <w:pPr>
              <w:pStyle w:val="TableRowCentered"/>
              <w:jc w:val="left"/>
              <w:rPr>
                <w:color w:val="auto"/>
                <w:sz w:val="22"/>
                <w:szCs w:val="22"/>
              </w:rPr>
            </w:pPr>
            <w:r w:rsidRPr="61C2FAD1">
              <w:rPr>
                <w:color w:val="auto"/>
                <w:sz w:val="22"/>
                <w:szCs w:val="22"/>
              </w:rPr>
              <w:t>£31,492</w:t>
            </w:r>
          </w:p>
        </w:tc>
      </w:tr>
      <w:tr w:rsidR="00D703F8" w14:paraId="13DDA24D" w14:textId="77777777" w:rsidTr="61C2FAD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E0052" w14:textId="77777777" w:rsidR="00D703F8" w:rsidRDefault="00D703F8" w:rsidP="002970A6">
            <w:pPr>
              <w:suppressAutoHyphens w:val="0"/>
              <w:autoSpaceDN/>
              <w:spacing w:before="60" w:after="60" w:line="240" w:lineRule="auto"/>
              <w:ind w:left="29" w:right="57"/>
              <w:rPr>
                <w:iCs/>
                <w:color w:val="auto"/>
                <w:szCs w:val="28"/>
                <w:lang w:val="en-US"/>
              </w:rPr>
            </w:pPr>
            <w:r>
              <w:rPr>
                <w:iCs/>
                <w:color w:val="auto"/>
                <w:szCs w:val="28"/>
                <w:lang w:val="en-US"/>
              </w:rPr>
              <w:t xml:space="preserve">Pastoral Team to support social and emotional wellbeing of pupils and families, strengthening resilience and readiness to learn. </w:t>
            </w:r>
          </w:p>
          <w:p w14:paraId="5FEF1205" w14:textId="77777777" w:rsidR="00D703F8" w:rsidRDefault="00D703F8" w:rsidP="002970A6">
            <w:pPr>
              <w:suppressAutoHyphens w:val="0"/>
              <w:autoSpaceDN/>
              <w:spacing w:before="60" w:after="60" w:line="240" w:lineRule="auto"/>
              <w:ind w:left="29" w:right="57"/>
              <w:rPr>
                <w:iCs/>
                <w:color w:val="auto"/>
                <w:szCs w:val="28"/>
                <w:lang w:val="en-US"/>
              </w:rPr>
            </w:pPr>
          </w:p>
          <w:p w14:paraId="7193278D" w14:textId="77777777" w:rsidR="00D703F8" w:rsidRDefault="00D703F8" w:rsidP="002970A6">
            <w:pPr>
              <w:suppressAutoHyphens w:val="0"/>
              <w:autoSpaceDN/>
              <w:spacing w:before="60" w:after="60" w:line="240" w:lineRule="auto"/>
              <w:ind w:left="29" w:right="57"/>
              <w:rPr>
                <w:iCs/>
                <w:color w:val="auto"/>
                <w:szCs w:val="28"/>
                <w:lang w:val="en-US"/>
              </w:rPr>
            </w:pPr>
            <w:r>
              <w:rPr>
                <w:iCs/>
                <w:color w:val="auto"/>
                <w:szCs w:val="28"/>
                <w:lang w:val="en-US"/>
              </w:rPr>
              <w:t>Senior learning mentor HLTA</w:t>
            </w:r>
          </w:p>
          <w:p w14:paraId="35612EFB" w14:textId="77777777" w:rsidR="00D703F8" w:rsidRPr="00E27862" w:rsidRDefault="00D703F8" w:rsidP="002970A6">
            <w:pPr>
              <w:suppressAutoHyphens w:val="0"/>
              <w:autoSpaceDN/>
              <w:spacing w:before="60" w:after="60" w:line="240" w:lineRule="auto"/>
              <w:ind w:left="29" w:right="57"/>
              <w:rPr>
                <w:iCs/>
                <w:color w:val="auto"/>
                <w:szCs w:val="28"/>
                <w:lang w:val="en-US"/>
              </w:rPr>
            </w:pPr>
            <w:r>
              <w:rPr>
                <w:iCs/>
                <w:color w:val="auto"/>
                <w:szCs w:val="28"/>
                <w:lang w:val="en-US"/>
              </w:rPr>
              <w:t>2 x Learning mentors Grade 2</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54163E" w14:textId="77777777" w:rsidR="00D703F8" w:rsidRPr="00E27862" w:rsidRDefault="00D703F8" w:rsidP="002970A6">
            <w:pPr>
              <w:pStyle w:val="TableRowCentered"/>
              <w:spacing w:after="120"/>
              <w:ind w:left="37"/>
              <w:jc w:val="left"/>
              <w:rPr>
                <w:color w:val="auto"/>
                <w:szCs w:val="22"/>
              </w:rPr>
            </w:pPr>
            <w:r>
              <w:rPr>
                <w:color w:val="auto"/>
                <w:szCs w:val="22"/>
              </w:rPr>
              <w:t>A greater proportion of disadvantaged pupils require social and emotional support and family support. More disadvantaged pupils suffer from low-self-esteem and do not have enough belief in their ability as a learner. Mentoring and family support has a direct impact on improving disadvantaged pupils’ resilience and readiness to learn, improving their rates of progress.</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6382A" w14:textId="77777777" w:rsidR="00D703F8" w:rsidRDefault="00D703F8" w:rsidP="002970A6">
            <w:pPr>
              <w:pStyle w:val="TableRowCentered"/>
              <w:jc w:val="left"/>
              <w:rPr>
                <w:color w:val="auto"/>
                <w:sz w:val="22"/>
                <w:szCs w:val="22"/>
              </w:rPr>
            </w:pPr>
            <w:r w:rsidRPr="76C61390">
              <w:rPr>
                <w:color w:val="auto"/>
                <w:sz w:val="22"/>
                <w:szCs w:val="22"/>
              </w:rPr>
              <w:t>All</w:t>
            </w:r>
          </w:p>
          <w:p w14:paraId="4B0595F9" w14:textId="77777777" w:rsidR="00D703F8" w:rsidRDefault="00D703F8" w:rsidP="002970A6">
            <w:pPr>
              <w:pStyle w:val="TableRowCentered"/>
              <w:jc w:val="left"/>
              <w:rPr>
                <w:color w:val="auto"/>
                <w:sz w:val="22"/>
                <w:szCs w:val="22"/>
              </w:rPr>
            </w:pPr>
          </w:p>
          <w:p w14:paraId="30574EE5" w14:textId="77777777" w:rsidR="00D703F8" w:rsidRDefault="00D703F8" w:rsidP="002970A6">
            <w:pPr>
              <w:pStyle w:val="TableRowCentered"/>
              <w:jc w:val="left"/>
              <w:rPr>
                <w:color w:val="auto"/>
                <w:sz w:val="22"/>
                <w:szCs w:val="22"/>
              </w:rPr>
            </w:pPr>
          </w:p>
          <w:p w14:paraId="639DBDBD" w14:textId="0C2B4137" w:rsidR="00D703F8" w:rsidRPr="00E27862" w:rsidRDefault="0FE564DA" w:rsidP="61C2FAD1">
            <w:pPr>
              <w:pStyle w:val="TableRowCentered"/>
              <w:jc w:val="left"/>
              <w:rPr>
                <w:color w:val="auto"/>
                <w:sz w:val="22"/>
                <w:szCs w:val="22"/>
              </w:rPr>
            </w:pPr>
            <w:r w:rsidRPr="61C2FAD1">
              <w:rPr>
                <w:color w:val="auto"/>
                <w:sz w:val="22"/>
                <w:szCs w:val="22"/>
              </w:rPr>
              <w:t>£28,807</w:t>
            </w:r>
          </w:p>
          <w:p w14:paraId="14856BD9" w14:textId="0C1AC984" w:rsidR="00D703F8" w:rsidRPr="00E27862" w:rsidRDefault="0FE564DA" w:rsidP="61C2FAD1">
            <w:pPr>
              <w:pStyle w:val="TableRowCentered"/>
              <w:jc w:val="left"/>
              <w:rPr>
                <w:color w:val="0D0D0D" w:themeColor="text1" w:themeTint="F2"/>
                <w:szCs w:val="24"/>
              </w:rPr>
            </w:pPr>
            <w:r w:rsidRPr="61C2FAD1">
              <w:rPr>
                <w:color w:val="auto"/>
                <w:sz w:val="22"/>
                <w:szCs w:val="22"/>
              </w:rPr>
              <w:t>£28,207</w:t>
            </w:r>
          </w:p>
          <w:p w14:paraId="207A6E13" w14:textId="6169FDAC" w:rsidR="00D703F8" w:rsidRPr="00E27862" w:rsidRDefault="0FE564DA" w:rsidP="61C2FAD1">
            <w:pPr>
              <w:pStyle w:val="TableRowCentered"/>
              <w:jc w:val="left"/>
              <w:rPr>
                <w:color w:val="0D0D0D" w:themeColor="text1" w:themeTint="F2"/>
                <w:szCs w:val="24"/>
              </w:rPr>
            </w:pPr>
            <w:r w:rsidRPr="61C2FAD1">
              <w:rPr>
                <w:color w:val="auto"/>
                <w:sz w:val="22"/>
                <w:szCs w:val="22"/>
              </w:rPr>
              <w:t>£28,207</w:t>
            </w:r>
          </w:p>
        </w:tc>
      </w:tr>
      <w:tr w:rsidR="00D703F8" w14:paraId="1C6838C6" w14:textId="77777777" w:rsidTr="61C2FAD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72A16" w14:textId="77777777" w:rsidR="00D703F8" w:rsidRDefault="00D703F8" w:rsidP="002970A6">
            <w:pPr>
              <w:tabs>
                <w:tab w:val="left" w:pos="3135"/>
              </w:tabs>
              <w:suppressAutoHyphens w:val="0"/>
              <w:autoSpaceDN/>
              <w:spacing w:before="60" w:after="60" w:line="240" w:lineRule="auto"/>
              <w:ind w:right="57"/>
              <w:rPr>
                <w:iCs/>
                <w:color w:val="auto"/>
                <w:szCs w:val="28"/>
                <w:lang w:val="en-US"/>
              </w:rPr>
            </w:pPr>
            <w:r>
              <w:rPr>
                <w:iCs/>
                <w:color w:val="auto"/>
                <w:szCs w:val="28"/>
                <w:lang w:val="en-US"/>
              </w:rPr>
              <w:t>Enrichment:</w:t>
            </w:r>
          </w:p>
          <w:p w14:paraId="6F505584" w14:textId="77777777" w:rsidR="00D703F8" w:rsidRDefault="00D703F8" w:rsidP="002970A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sidRPr="00146613">
              <w:rPr>
                <w:iCs/>
                <w:color w:val="auto"/>
                <w:szCs w:val="28"/>
                <w:lang w:val="en-US"/>
              </w:rPr>
              <w:t>wider opportunity music (year 4)</w:t>
            </w:r>
          </w:p>
          <w:p w14:paraId="77ED8F9A" w14:textId="77777777" w:rsidR="00D703F8" w:rsidRDefault="00D703F8" w:rsidP="002970A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Pr>
                <w:iCs/>
                <w:color w:val="auto"/>
                <w:szCs w:val="28"/>
                <w:lang w:val="en-US"/>
              </w:rPr>
              <w:lastRenderedPageBreak/>
              <w:t>Theatre workshops (Birmingham Hippodrome)</w:t>
            </w:r>
          </w:p>
          <w:p w14:paraId="1246B58F" w14:textId="2265808D" w:rsidR="00D703F8" w:rsidRDefault="00D703F8" w:rsidP="002970A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Pr>
                <w:iCs/>
                <w:color w:val="auto"/>
                <w:szCs w:val="28"/>
                <w:lang w:val="en-US"/>
              </w:rPr>
              <w:t xml:space="preserve">Educational visits </w:t>
            </w:r>
            <w:r w:rsidR="009104F7">
              <w:rPr>
                <w:iCs/>
                <w:color w:val="auto"/>
                <w:szCs w:val="28"/>
                <w:lang w:val="en-US"/>
              </w:rPr>
              <w:t>subsidized</w:t>
            </w:r>
          </w:p>
          <w:p w14:paraId="6FAB0173" w14:textId="5E4498CA" w:rsidR="009104F7" w:rsidRPr="00146613" w:rsidRDefault="009104F7" w:rsidP="002970A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Pr>
                <w:iCs/>
                <w:color w:val="auto"/>
                <w:szCs w:val="28"/>
                <w:lang w:val="en-US"/>
              </w:rPr>
              <w:t>Visiting artist</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39862" w14:textId="77777777" w:rsidR="00D703F8" w:rsidRDefault="00D703F8" w:rsidP="002970A6">
            <w:pPr>
              <w:pStyle w:val="TableRowCentered"/>
              <w:spacing w:after="120"/>
              <w:ind w:left="0"/>
              <w:jc w:val="left"/>
              <w:rPr>
                <w:color w:val="auto"/>
                <w:szCs w:val="22"/>
              </w:rPr>
            </w:pPr>
            <w:r>
              <w:rPr>
                <w:color w:val="auto"/>
                <w:szCs w:val="22"/>
              </w:rPr>
              <w:lastRenderedPageBreak/>
              <w:t xml:space="preserve">Providing greater opportunities for disadvantaged pupils to </w:t>
            </w:r>
            <w:r>
              <w:rPr>
                <w:color w:val="auto"/>
                <w:szCs w:val="22"/>
              </w:rPr>
              <w:lastRenderedPageBreak/>
              <w:t>experience enrichment/cultural activities not only supports their well-being and mental health, but also enables them to make good academic progress.</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9A7F8" w14:textId="08A67340" w:rsidR="00D703F8" w:rsidRDefault="00D703F8" w:rsidP="002970A6">
            <w:pPr>
              <w:pStyle w:val="TableRowCentered"/>
              <w:jc w:val="left"/>
              <w:rPr>
                <w:color w:val="auto"/>
                <w:sz w:val="22"/>
                <w:szCs w:val="22"/>
              </w:rPr>
            </w:pPr>
            <w:r w:rsidRPr="76C61390">
              <w:rPr>
                <w:color w:val="auto"/>
                <w:sz w:val="22"/>
                <w:szCs w:val="22"/>
              </w:rPr>
              <w:lastRenderedPageBreak/>
              <w:t>All</w:t>
            </w:r>
          </w:p>
          <w:p w14:paraId="74A00702" w14:textId="69C6CEBF" w:rsidR="009104F7" w:rsidRDefault="3547CFAF" w:rsidP="002970A6">
            <w:pPr>
              <w:pStyle w:val="TableRowCentered"/>
              <w:jc w:val="left"/>
              <w:rPr>
                <w:color w:val="auto"/>
                <w:sz w:val="22"/>
                <w:szCs w:val="22"/>
              </w:rPr>
            </w:pPr>
            <w:r w:rsidRPr="61C2FAD1">
              <w:rPr>
                <w:color w:val="auto"/>
                <w:sz w:val="22"/>
                <w:szCs w:val="22"/>
              </w:rPr>
              <w:t>£</w:t>
            </w:r>
            <w:r w:rsidR="41C77BE8" w:rsidRPr="61C2FAD1">
              <w:rPr>
                <w:color w:val="auto"/>
                <w:sz w:val="22"/>
                <w:szCs w:val="22"/>
              </w:rPr>
              <w:t>5000</w:t>
            </w:r>
          </w:p>
          <w:p w14:paraId="68C50595" w14:textId="79F96E4F" w:rsidR="61C2FAD1" w:rsidRDefault="61C2FAD1" w:rsidP="61C2FAD1">
            <w:pPr>
              <w:pStyle w:val="TableRowCentered"/>
              <w:jc w:val="left"/>
              <w:rPr>
                <w:color w:val="0D0D0D" w:themeColor="text1" w:themeTint="F2"/>
                <w:szCs w:val="24"/>
              </w:rPr>
            </w:pPr>
          </w:p>
          <w:p w14:paraId="62F7AD4C" w14:textId="52C01C97" w:rsidR="009104F7" w:rsidRDefault="009104F7" w:rsidP="002970A6">
            <w:pPr>
              <w:pStyle w:val="TableRowCentered"/>
              <w:jc w:val="left"/>
              <w:rPr>
                <w:color w:val="auto"/>
                <w:sz w:val="22"/>
                <w:szCs w:val="22"/>
              </w:rPr>
            </w:pPr>
          </w:p>
          <w:p w14:paraId="2F15C0D9" w14:textId="0F03EFD5" w:rsidR="009104F7" w:rsidRDefault="009104F7" w:rsidP="002970A6">
            <w:pPr>
              <w:pStyle w:val="TableRowCentered"/>
              <w:jc w:val="left"/>
              <w:rPr>
                <w:color w:val="auto"/>
                <w:sz w:val="22"/>
                <w:szCs w:val="22"/>
              </w:rPr>
            </w:pPr>
            <w:r>
              <w:rPr>
                <w:color w:val="auto"/>
                <w:sz w:val="22"/>
                <w:szCs w:val="22"/>
              </w:rPr>
              <w:t>£3000</w:t>
            </w:r>
          </w:p>
          <w:p w14:paraId="2514851D" w14:textId="1F436EFF" w:rsidR="009104F7" w:rsidRDefault="009104F7" w:rsidP="002970A6">
            <w:pPr>
              <w:pStyle w:val="TableRowCentered"/>
              <w:jc w:val="left"/>
              <w:rPr>
                <w:color w:val="auto"/>
                <w:sz w:val="22"/>
                <w:szCs w:val="22"/>
              </w:rPr>
            </w:pPr>
          </w:p>
          <w:p w14:paraId="7905EEB8" w14:textId="4F5C7284" w:rsidR="009104F7" w:rsidRDefault="3547CFAF" w:rsidP="002970A6">
            <w:pPr>
              <w:pStyle w:val="TableRowCentered"/>
              <w:jc w:val="left"/>
              <w:rPr>
                <w:color w:val="auto"/>
                <w:sz w:val="22"/>
                <w:szCs w:val="22"/>
              </w:rPr>
            </w:pPr>
            <w:r w:rsidRPr="61C2FAD1">
              <w:rPr>
                <w:color w:val="auto"/>
                <w:sz w:val="22"/>
                <w:szCs w:val="22"/>
              </w:rPr>
              <w:t>£</w:t>
            </w:r>
            <w:r w:rsidR="6DBCD00F" w:rsidRPr="61C2FAD1">
              <w:rPr>
                <w:color w:val="auto"/>
                <w:sz w:val="22"/>
                <w:szCs w:val="22"/>
              </w:rPr>
              <w:t>10,000</w:t>
            </w:r>
          </w:p>
          <w:p w14:paraId="1039482B" w14:textId="17654F89" w:rsidR="009104F7" w:rsidRDefault="3547CFAF" w:rsidP="002970A6">
            <w:pPr>
              <w:pStyle w:val="TableRowCentered"/>
              <w:jc w:val="left"/>
              <w:rPr>
                <w:color w:val="auto"/>
                <w:sz w:val="22"/>
                <w:szCs w:val="22"/>
              </w:rPr>
            </w:pPr>
            <w:r w:rsidRPr="61C2FAD1">
              <w:rPr>
                <w:color w:val="auto"/>
                <w:sz w:val="22"/>
                <w:szCs w:val="22"/>
              </w:rPr>
              <w:t>£</w:t>
            </w:r>
            <w:r w:rsidR="21DCC266" w:rsidRPr="61C2FAD1">
              <w:rPr>
                <w:color w:val="auto"/>
                <w:sz w:val="22"/>
                <w:szCs w:val="22"/>
              </w:rPr>
              <w:t>2000</w:t>
            </w:r>
          </w:p>
          <w:p w14:paraId="5709A39F" w14:textId="27D6F71C" w:rsidR="009104F7" w:rsidRDefault="009104F7" w:rsidP="002970A6">
            <w:pPr>
              <w:pStyle w:val="TableRowCentered"/>
              <w:jc w:val="left"/>
              <w:rPr>
                <w:color w:val="auto"/>
                <w:sz w:val="22"/>
                <w:szCs w:val="22"/>
              </w:rPr>
            </w:pPr>
          </w:p>
          <w:p w14:paraId="7CD2B9AC" w14:textId="3B29E6C8" w:rsidR="009104F7" w:rsidRDefault="009104F7" w:rsidP="002970A6">
            <w:pPr>
              <w:pStyle w:val="TableRowCentered"/>
              <w:jc w:val="left"/>
              <w:rPr>
                <w:color w:val="auto"/>
                <w:sz w:val="22"/>
                <w:szCs w:val="22"/>
              </w:rPr>
            </w:pPr>
          </w:p>
          <w:p w14:paraId="518764B1" w14:textId="522EB291" w:rsidR="009104F7" w:rsidRDefault="009104F7" w:rsidP="002970A6">
            <w:pPr>
              <w:pStyle w:val="TableRowCentered"/>
              <w:jc w:val="left"/>
              <w:rPr>
                <w:color w:val="auto"/>
                <w:sz w:val="22"/>
                <w:szCs w:val="22"/>
              </w:rPr>
            </w:pPr>
          </w:p>
          <w:p w14:paraId="64853D77" w14:textId="77777777" w:rsidR="009104F7" w:rsidRDefault="009104F7" w:rsidP="002970A6">
            <w:pPr>
              <w:pStyle w:val="TableRowCentered"/>
              <w:jc w:val="left"/>
              <w:rPr>
                <w:color w:val="auto"/>
                <w:sz w:val="22"/>
                <w:szCs w:val="22"/>
              </w:rPr>
            </w:pPr>
          </w:p>
          <w:p w14:paraId="420D89B2" w14:textId="77777777" w:rsidR="00D703F8" w:rsidRPr="00E27862" w:rsidRDefault="00D703F8" w:rsidP="002970A6">
            <w:pPr>
              <w:pStyle w:val="TableRowCentered"/>
              <w:jc w:val="left"/>
              <w:rPr>
                <w:color w:val="auto"/>
                <w:sz w:val="22"/>
                <w:szCs w:val="22"/>
              </w:rPr>
            </w:pPr>
          </w:p>
        </w:tc>
      </w:tr>
      <w:tr w:rsidR="00D703F8" w14:paraId="4059272B" w14:textId="77777777" w:rsidTr="61C2FAD1">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A5203" w14:textId="77777777" w:rsidR="00D703F8" w:rsidRDefault="00D703F8" w:rsidP="002970A6">
            <w:pPr>
              <w:tabs>
                <w:tab w:val="left" w:pos="3135"/>
              </w:tabs>
              <w:suppressAutoHyphens w:val="0"/>
              <w:autoSpaceDN/>
              <w:spacing w:before="60" w:after="60" w:line="240" w:lineRule="auto"/>
              <w:ind w:right="57"/>
              <w:rPr>
                <w:iCs/>
                <w:color w:val="auto"/>
                <w:szCs w:val="28"/>
                <w:lang w:val="en-US"/>
              </w:rPr>
            </w:pPr>
            <w:r>
              <w:rPr>
                <w:iCs/>
                <w:color w:val="auto"/>
                <w:szCs w:val="28"/>
                <w:lang w:val="en-US"/>
              </w:rPr>
              <w:lastRenderedPageBreak/>
              <w:t>To purchase online subscriptions for every child:</w:t>
            </w:r>
          </w:p>
          <w:p w14:paraId="0658F238" w14:textId="77777777" w:rsidR="00D703F8" w:rsidRDefault="00D703F8" w:rsidP="002970A6">
            <w:pPr>
              <w:tabs>
                <w:tab w:val="left" w:pos="3135"/>
              </w:tabs>
              <w:suppressAutoHyphens w:val="0"/>
              <w:autoSpaceDN/>
              <w:spacing w:before="60" w:after="60" w:line="240" w:lineRule="auto"/>
              <w:ind w:right="57"/>
              <w:rPr>
                <w:iCs/>
                <w:color w:val="auto"/>
                <w:szCs w:val="28"/>
                <w:lang w:val="en-US"/>
              </w:rPr>
            </w:pPr>
            <w:r>
              <w:rPr>
                <w:iCs/>
                <w:color w:val="auto"/>
                <w:szCs w:val="28"/>
                <w:lang w:val="en-US"/>
              </w:rPr>
              <w:t>Bug Club</w:t>
            </w:r>
          </w:p>
          <w:p w14:paraId="1D50F981" w14:textId="77777777" w:rsidR="00D703F8" w:rsidRDefault="00D703F8" w:rsidP="002970A6">
            <w:pPr>
              <w:tabs>
                <w:tab w:val="left" w:pos="3135"/>
              </w:tabs>
              <w:suppressAutoHyphens w:val="0"/>
              <w:autoSpaceDN/>
              <w:spacing w:before="60" w:after="60" w:line="240" w:lineRule="auto"/>
              <w:ind w:right="57"/>
              <w:rPr>
                <w:iCs/>
                <w:color w:val="auto"/>
                <w:szCs w:val="28"/>
                <w:lang w:val="en-US"/>
              </w:rPr>
            </w:pPr>
            <w:r>
              <w:rPr>
                <w:iCs/>
                <w:color w:val="auto"/>
                <w:szCs w:val="28"/>
                <w:lang w:val="en-US"/>
              </w:rPr>
              <w:t>Mathletics</w:t>
            </w:r>
          </w:p>
          <w:p w14:paraId="46809551" w14:textId="77777777" w:rsidR="00D703F8" w:rsidRDefault="00D703F8" w:rsidP="002970A6">
            <w:pPr>
              <w:tabs>
                <w:tab w:val="left" w:pos="3135"/>
              </w:tabs>
              <w:suppressAutoHyphens w:val="0"/>
              <w:autoSpaceDN/>
              <w:spacing w:before="60" w:after="60" w:line="240" w:lineRule="auto"/>
              <w:ind w:right="57"/>
              <w:rPr>
                <w:iCs/>
                <w:color w:val="auto"/>
                <w:szCs w:val="28"/>
                <w:lang w:val="en-US"/>
              </w:rPr>
            </w:pPr>
            <w:r>
              <w:rPr>
                <w:iCs/>
                <w:color w:val="auto"/>
                <w:szCs w:val="28"/>
                <w:lang w:val="en-US"/>
              </w:rPr>
              <w:t xml:space="preserve">TT </w:t>
            </w:r>
            <w:proofErr w:type="spellStart"/>
            <w:r>
              <w:rPr>
                <w:iCs/>
                <w:color w:val="auto"/>
                <w:szCs w:val="28"/>
                <w:lang w:val="en-US"/>
              </w:rPr>
              <w:t>Rockstars</w:t>
            </w:r>
            <w:proofErr w:type="spellEnd"/>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D1AE4" w14:textId="77777777" w:rsidR="00D703F8" w:rsidRDefault="00D703F8" w:rsidP="002970A6">
            <w:pPr>
              <w:pStyle w:val="TableRowCentered"/>
              <w:spacing w:after="120"/>
              <w:ind w:left="0"/>
              <w:jc w:val="left"/>
              <w:rPr>
                <w:color w:val="auto"/>
              </w:rPr>
            </w:pPr>
          </w:p>
          <w:p w14:paraId="1C2D8E32" w14:textId="77777777" w:rsidR="00D703F8" w:rsidRDefault="00D703F8" w:rsidP="002970A6">
            <w:pPr>
              <w:pStyle w:val="TableRowCentered"/>
              <w:spacing w:after="120"/>
              <w:ind w:left="0"/>
              <w:jc w:val="left"/>
              <w:rPr>
                <w:color w:val="0D0D0D" w:themeColor="text1" w:themeTint="F2"/>
                <w:szCs w:val="24"/>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4E730" w14:textId="77777777" w:rsidR="00D703F8" w:rsidRDefault="00D703F8" w:rsidP="002970A6">
            <w:pPr>
              <w:pStyle w:val="TableRowCentered"/>
              <w:jc w:val="left"/>
              <w:rPr>
                <w:color w:val="auto"/>
                <w:sz w:val="22"/>
                <w:szCs w:val="22"/>
              </w:rPr>
            </w:pPr>
          </w:p>
          <w:p w14:paraId="2915D9CE" w14:textId="77777777" w:rsidR="00D703F8" w:rsidRDefault="00D703F8" w:rsidP="002970A6">
            <w:pPr>
              <w:pStyle w:val="TableRowCentered"/>
              <w:ind w:left="0"/>
              <w:jc w:val="left"/>
              <w:rPr>
                <w:color w:val="auto"/>
                <w:sz w:val="22"/>
                <w:szCs w:val="22"/>
              </w:rPr>
            </w:pPr>
            <w:r>
              <w:rPr>
                <w:color w:val="auto"/>
                <w:sz w:val="22"/>
                <w:szCs w:val="22"/>
              </w:rPr>
              <w:t>3,4,5</w:t>
            </w:r>
          </w:p>
          <w:p w14:paraId="09A35C48" w14:textId="7ED96F6F" w:rsidR="00D703F8" w:rsidRDefault="2C7B2944" w:rsidP="61C2FAD1">
            <w:pPr>
              <w:pStyle w:val="TableRowCentered"/>
              <w:ind w:left="0"/>
              <w:jc w:val="left"/>
              <w:rPr>
                <w:color w:val="auto"/>
                <w:sz w:val="22"/>
                <w:szCs w:val="22"/>
              </w:rPr>
            </w:pPr>
            <w:r w:rsidRPr="61C2FAD1">
              <w:rPr>
                <w:color w:val="auto"/>
                <w:sz w:val="22"/>
                <w:szCs w:val="22"/>
              </w:rPr>
              <w:t>£1537.62</w:t>
            </w:r>
          </w:p>
          <w:p w14:paraId="50B37020" w14:textId="3DA0007C" w:rsidR="00D703F8" w:rsidRDefault="2C7B2944" w:rsidP="61C2FAD1">
            <w:pPr>
              <w:pStyle w:val="TableRowCentered"/>
              <w:ind w:left="0"/>
              <w:jc w:val="left"/>
              <w:rPr>
                <w:color w:val="0D0D0D" w:themeColor="text1" w:themeTint="F2"/>
                <w:szCs w:val="24"/>
              </w:rPr>
            </w:pPr>
            <w:r w:rsidRPr="61C2FAD1">
              <w:rPr>
                <w:color w:val="auto"/>
                <w:sz w:val="22"/>
                <w:szCs w:val="22"/>
              </w:rPr>
              <w:t>£1954.80</w:t>
            </w:r>
          </w:p>
          <w:p w14:paraId="4651849C" w14:textId="05037B27" w:rsidR="00D703F8" w:rsidRDefault="2C7B2944" w:rsidP="61C2FAD1">
            <w:pPr>
              <w:pStyle w:val="TableRowCentered"/>
              <w:ind w:left="0"/>
              <w:jc w:val="left"/>
              <w:rPr>
                <w:color w:val="0D0D0D" w:themeColor="text1" w:themeTint="F2"/>
                <w:szCs w:val="24"/>
              </w:rPr>
            </w:pPr>
            <w:r w:rsidRPr="61C2FAD1">
              <w:rPr>
                <w:color w:val="auto"/>
                <w:sz w:val="22"/>
                <w:szCs w:val="22"/>
              </w:rPr>
              <w:t>£167.00</w:t>
            </w:r>
          </w:p>
        </w:tc>
      </w:tr>
    </w:tbl>
    <w:p w14:paraId="5A7353C5" w14:textId="3710D96C" w:rsidR="00F337E6" w:rsidRPr="00F337E6" w:rsidRDefault="00F337E6" w:rsidP="00D703F8">
      <w:pPr>
        <w:spacing w:after="120"/>
        <w:rPr>
          <w:b/>
          <w:bCs/>
          <w:color w:val="104F75"/>
          <w:sz w:val="32"/>
          <w:szCs w:val="28"/>
        </w:rPr>
      </w:pPr>
    </w:p>
    <w:p w14:paraId="1C71E498" w14:textId="585B6552" w:rsidR="00F337E6" w:rsidRPr="00F337E6" w:rsidRDefault="00F337E6" w:rsidP="00D703F8">
      <w:pPr>
        <w:spacing w:after="120"/>
        <w:rPr>
          <w:b/>
          <w:bCs/>
          <w:color w:val="104F75"/>
          <w:sz w:val="32"/>
          <w:szCs w:val="28"/>
        </w:rPr>
      </w:pPr>
    </w:p>
    <w:p w14:paraId="454AED48" w14:textId="18402838" w:rsidR="00F337E6" w:rsidRPr="00F337E6" w:rsidRDefault="00F337E6" w:rsidP="00D703F8">
      <w:pPr>
        <w:spacing w:after="120"/>
        <w:rPr>
          <w:b/>
          <w:bCs/>
          <w:color w:val="104F75"/>
          <w:sz w:val="32"/>
          <w:szCs w:val="28"/>
        </w:rPr>
      </w:pPr>
      <w:r w:rsidRPr="00F337E6">
        <w:rPr>
          <w:b/>
          <w:bCs/>
          <w:color w:val="104F75"/>
          <w:sz w:val="32"/>
          <w:szCs w:val="28"/>
        </w:rPr>
        <w:t>Review of outcomes of Pupil Premium Spending 2021-2022</w:t>
      </w:r>
    </w:p>
    <w:p w14:paraId="45ED3874" w14:textId="069B4C8F" w:rsidR="00F337E6" w:rsidRDefault="00F337E6" w:rsidP="00F337E6">
      <w:r>
        <w:t xml:space="preserve">This details the impact that our pupil premium activity had on pupils in the 2021 to 2022 academic year. </w:t>
      </w:r>
    </w:p>
    <w:tbl>
      <w:tblPr>
        <w:tblW w:w="5000" w:type="pct"/>
        <w:tblLayout w:type="fixed"/>
        <w:tblCellMar>
          <w:left w:w="10" w:type="dxa"/>
          <w:right w:w="10" w:type="dxa"/>
        </w:tblCellMar>
        <w:tblLook w:val="04A0" w:firstRow="1" w:lastRow="0" w:firstColumn="1" w:lastColumn="0" w:noHBand="0" w:noVBand="1"/>
      </w:tblPr>
      <w:tblGrid>
        <w:gridCol w:w="9486"/>
      </w:tblGrid>
      <w:tr w:rsidR="00F337E6" w:rsidRPr="00F337E6" w14:paraId="30FAF401"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4A7B5ED" w14:textId="77777777" w:rsidR="00F337E6" w:rsidRPr="00F337E6" w:rsidRDefault="00F337E6" w:rsidP="00F337E6">
            <w:pPr>
              <w:spacing w:after="100" w:afterAutospacing="1"/>
              <w:rPr>
                <w:b/>
                <w:color w:val="0070C0"/>
              </w:rPr>
            </w:pPr>
            <w:r w:rsidRPr="00F337E6">
              <w:rPr>
                <w:b/>
              </w:rPr>
              <w:t xml:space="preserve">Teaching    Budgeted cost: </w:t>
            </w:r>
            <w:r w:rsidRPr="00F337E6">
              <w:rPr>
                <w:b/>
                <w:bCs/>
                <w:color w:val="auto"/>
              </w:rPr>
              <w:t>£14,186</w:t>
            </w:r>
          </w:p>
        </w:tc>
      </w:tr>
      <w:tr w:rsidR="00F337E6" w:rsidRPr="00F337E6" w14:paraId="5940D21A"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F98F7" w14:textId="77777777" w:rsidR="00F337E6" w:rsidRPr="00F337E6" w:rsidRDefault="00F337E6" w:rsidP="00F337E6">
            <w:pPr>
              <w:suppressAutoHyphens w:val="0"/>
              <w:autoSpaceDN/>
              <w:spacing w:before="60" w:line="240" w:lineRule="auto"/>
              <w:ind w:left="29" w:right="57"/>
              <w:rPr>
                <w:iCs/>
                <w:color w:val="auto"/>
                <w:lang w:val="en-US"/>
              </w:rPr>
            </w:pPr>
            <w:r w:rsidRPr="00F337E6">
              <w:rPr>
                <w:iCs/>
                <w:color w:val="auto"/>
                <w:lang w:val="en-US"/>
              </w:rPr>
              <w:t xml:space="preserve">Embedding dialogic activities across the school curriculum. These can support pupils to articulate key ideas, consolidate understanding and extend vocabulary. </w:t>
            </w:r>
          </w:p>
          <w:p w14:paraId="224C03F7" w14:textId="77777777" w:rsidR="00F337E6" w:rsidRPr="00F337E6" w:rsidRDefault="00F337E6" w:rsidP="00F337E6">
            <w:pPr>
              <w:spacing w:before="60" w:after="60" w:line="240" w:lineRule="auto"/>
              <w:ind w:left="57" w:right="57"/>
              <w:rPr>
                <w:color w:val="auto"/>
                <w:sz w:val="22"/>
                <w:szCs w:val="22"/>
              </w:rPr>
            </w:pPr>
            <w:r w:rsidRPr="00F337E6">
              <w:rPr>
                <w:color w:val="auto"/>
                <w:szCs w:val="20"/>
              </w:rPr>
              <w:t xml:space="preserve">We will purchase resources and fund ongoing teacher training and release time. </w:t>
            </w:r>
          </w:p>
        </w:tc>
      </w:tr>
      <w:tr w:rsidR="00F337E6" w:rsidRPr="00F337E6" w14:paraId="56DF0547" w14:textId="77777777" w:rsidTr="008F61F5">
        <w:trPr>
          <w:trHeight w:val="3720"/>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26C91234" w14:textId="77777777" w:rsidR="00F337E6" w:rsidRPr="00F337E6" w:rsidRDefault="00F337E6" w:rsidP="00F337E6">
            <w:pPr>
              <w:spacing w:before="60" w:after="60" w:line="240" w:lineRule="auto"/>
              <w:ind w:left="57" w:right="57"/>
              <w:rPr>
                <w:color w:val="auto"/>
                <w:sz w:val="22"/>
                <w:szCs w:val="22"/>
              </w:rPr>
            </w:pPr>
            <w:bookmarkStart w:id="19" w:name="_Hlk113968382"/>
            <w:r w:rsidRPr="00F337E6">
              <w:rPr>
                <w:color w:val="auto"/>
                <w:sz w:val="22"/>
                <w:szCs w:val="22"/>
              </w:rPr>
              <w:t>Evidence of Impact:</w:t>
            </w:r>
          </w:p>
          <w:bookmarkEnd w:id="19"/>
          <w:p w14:paraId="0ACC17CE"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Teachers have increased knowledge of speech and language difficulties, in particular Developmental language disorder.</w:t>
            </w:r>
          </w:p>
          <w:p w14:paraId="52B9F52E"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Teachers are aware of strategies to support children with speech and language difficulties and can incorporate this into their planning.</w:t>
            </w:r>
          </w:p>
          <w:p w14:paraId="42FFBA28"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Teachers are able to identify signs of DLD and refer to the SERNCO.</w:t>
            </w:r>
          </w:p>
          <w:p w14:paraId="67955F34" w14:textId="77777777" w:rsidR="00F337E6" w:rsidRPr="00F337E6" w:rsidRDefault="00F337E6" w:rsidP="00F337E6">
            <w:pPr>
              <w:spacing w:before="60" w:after="60" w:line="240" w:lineRule="auto"/>
              <w:ind w:left="57" w:right="57"/>
              <w:rPr>
                <w:color w:val="0D0D0D" w:themeColor="text1" w:themeTint="F2"/>
              </w:rPr>
            </w:pPr>
            <w:r w:rsidRPr="00F337E6">
              <w:rPr>
                <w:color w:val="auto"/>
                <w:sz w:val="22"/>
                <w:szCs w:val="22"/>
              </w:rPr>
              <w:t>Teachers are able to use strategies that support children with DLD as good practise to support all children.</w:t>
            </w:r>
          </w:p>
          <w:p w14:paraId="68724373" w14:textId="77777777" w:rsidR="00F337E6" w:rsidRPr="00F337E6" w:rsidRDefault="00F337E6" w:rsidP="00F337E6">
            <w:pPr>
              <w:spacing w:before="60" w:after="60" w:line="240" w:lineRule="auto"/>
              <w:ind w:left="57" w:right="57"/>
              <w:rPr>
                <w:color w:val="0D0D0D" w:themeColor="text1" w:themeTint="F2"/>
              </w:rPr>
            </w:pPr>
            <w:r w:rsidRPr="00F337E6">
              <w:rPr>
                <w:color w:val="auto"/>
                <w:sz w:val="22"/>
                <w:szCs w:val="22"/>
              </w:rPr>
              <w:t xml:space="preserve">Teachers have an increased knowledge of how to specifically teach tier 2 vocabulary. </w:t>
            </w:r>
          </w:p>
          <w:p w14:paraId="029292C2" w14:textId="77777777" w:rsidR="00F337E6" w:rsidRPr="00F337E6" w:rsidRDefault="00F337E6" w:rsidP="00F337E6">
            <w:pPr>
              <w:spacing w:before="60" w:after="60" w:line="240" w:lineRule="auto"/>
              <w:ind w:left="57" w:right="57"/>
              <w:rPr>
                <w:color w:val="0D0D0D" w:themeColor="text1" w:themeTint="F2"/>
              </w:rPr>
            </w:pPr>
          </w:p>
          <w:p w14:paraId="4C14D93E" w14:textId="77777777" w:rsidR="00F337E6" w:rsidRPr="00F337E6" w:rsidRDefault="00F337E6" w:rsidP="00F337E6">
            <w:pPr>
              <w:spacing w:before="60" w:after="60" w:line="240" w:lineRule="auto"/>
              <w:ind w:left="57" w:right="57"/>
              <w:rPr>
                <w:color w:val="auto"/>
                <w:sz w:val="22"/>
                <w:szCs w:val="22"/>
              </w:rPr>
            </w:pPr>
          </w:p>
        </w:tc>
      </w:tr>
      <w:tr w:rsidR="00F337E6" w:rsidRPr="00F337E6" w14:paraId="69D68F16"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A58E6" w14:textId="77777777" w:rsidR="00F337E6" w:rsidRPr="00F337E6" w:rsidRDefault="00F337E6" w:rsidP="00F337E6">
            <w:pPr>
              <w:suppressAutoHyphens w:val="0"/>
              <w:autoSpaceDN/>
              <w:spacing w:before="60" w:after="120" w:line="240" w:lineRule="auto"/>
              <w:ind w:left="29" w:right="57"/>
              <w:rPr>
                <w:rFonts w:cs="Arial"/>
                <w:iCs/>
                <w:color w:val="auto"/>
              </w:rPr>
            </w:pPr>
            <w:r w:rsidRPr="00F337E6">
              <w:rPr>
                <w:rFonts w:cs="Arial"/>
                <w:iCs/>
                <w:color w:val="auto"/>
              </w:rPr>
              <w:t xml:space="preserve">Purchase of a </w:t>
            </w:r>
            <w:hyperlink r:id="rId20" w:history="1">
              <w:r w:rsidRPr="00F337E6">
                <w:rPr>
                  <w:rFonts w:cs="Arial"/>
                  <w:iCs/>
                  <w:color w:val="0070C0"/>
                  <w:u w:val="single"/>
                </w:rPr>
                <w:t>D</w:t>
              </w:r>
              <w:r w:rsidRPr="00F337E6">
                <w:rPr>
                  <w:color w:val="0070C0"/>
                  <w:u w:val="single"/>
                </w:rPr>
                <w:t xml:space="preserve">fE </w:t>
              </w:r>
              <w:r w:rsidRPr="00F337E6">
                <w:rPr>
                  <w:rFonts w:cs="Arial"/>
                  <w:iCs/>
                  <w:color w:val="0070C0"/>
                  <w:u w:val="single"/>
                </w:rPr>
                <w:t>validated Systematic Synthetic Phonics programme</w:t>
              </w:r>
            </w:hyperlink>
            <w:r w:rsidRPr="00F337E6">
              <w:rPr>
                <w:rFonts w:cs="Arial"/>
                <w:iCs/>
                <w:color w:val="auto"/>
              </w:rPr>
              <w:t xml:space="preserve"> (Little </w:t>
            </w:r>
            <w:proofErr w:type="spellStart"/>
            <w:r w:rsidRPr="00F337E6">
              <w:rPr>
                <w:rFonts w:cs="Arial"/>
                <w:iCs/>
                <w:color w:val="auto"/>
              </w:rPr>
              <w:t>Wandle</w:t>
            </w:r>
            <w:proofErr w:type="spellEnd"/>
            <w:r w:rsidRPr="00F337E6">
              <w:rPr>
                <w:rFonts w:cs="Arial"/>
                <w:iCs/>
                <w:color w:val="auto"/>
              </w:rPr>
              <w:t>), to secure stronger phonics teaching for all pupils.</w:t>
            </w:r>
          </w:p>
          <w:p w14:paraId="07913CCF" w14:textId="77777777" w:rsidR="00F337E6" w:rsidRPr="00F337E6" w:rsidRDefault="00F337E6" w:rsidP="00F337E6">
            <w:pPr>
              <w:spacing w:before="60" w:after="60" w:line="240" w:lineRule="auto"/>
              <w:ind w:left="57" w:right="57"/>
              <w:rPr>
                <w:color w:val="auto"/>
              </w:rPr>
            </w:pPr>
            <w:r w:rsidRPr="00F337E6">
              <w:rPr>
                <w:rFonts w:cs="Arial"/>
                <w:iCs/>
                <w:color w:val="auto"/>
                <w:szCs w:val="20"/>
              </w:rPr>
              <w:t>All staff to receive training in delivering phonics teaching</w:t>
            </w:r>
          </w:p>
        </w:tc>
      </w:tr>
      <w:tr w:rsidR="00F337E6" w:rsidRPr="00F337E6" w14:paraId="4C802929"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673C408B"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Evidence of Impact:</w:t>
            </w:r>
          </w:p>
          <w:p w14:paraId="0D84F083"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All teaching staff have better understanding of addressing gaps in children’s phonic knowledge and have been able to deliver phase 5 revision lessons.</w:t>
            </w:r>
          </w:p>
          <w:p w14:paraId="400B872A"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lastRenderedPageBreak/>
              <w:t>Teaching Assistants, after accessing training, have delivered daily phonics as well as 3 guided readings lessons a week to 44 pupils across the school. All of the pupils passed half-termly assessments. 22 pupils out of 35 (63%) from the year 3 and year 4 groups has 32 marks and above in the 2022 phonics screen test and will now move on from decoding to further developing fluency interventions.</w:t>
            </w:r>
          </w:p>
          <w:p w14:paraId="154D2B3B" w14:textId="77777777" w:rsidR="00F337E6" w:rsidRPr="00F337E6" w:rsidRDefault="00F337E6" w:rsidP="00F337E6">
            <w:pPr>
              <w:spacing w:before="60" w:after="60" w:line="240" w:lineRule="auto"/>
              <w:ind w:left="57" w:right="57"/>
              <w:rPr>
                <w:color w:val="auto"/>
              </w:rPr>
            </w:pPr>
          </w:p>
        </w:tc>
      </w:tr>
      <w:tr w:rsidR="00F337E6" w:rsidRPr="00F337E6" w14:paraId="087D56EA"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7E29B" w14:textId="77777777" w:rsidR="00F337E6" w:rsidRPr="00F337E6" w:rsidRDefault="00F337E6" w:rsidP="00F337E6">
            <w:pPr>
              <w:numPr>
                <w:ilvl w:val="0"/>
                <w:numId w:val="1"/>
              </w:numPr>
              <w:suppressAutoHyphens w:val="0"/>
              <w:autoSpaceDN/>
              <w:spacing w:before="100" w:beforeAutospacing="1" w:after="0" w:afterAutospacing="1" w:line="240" w:lineRule="auto"/>
              <w:rPr>
                <w:rFonts w:cs="Arial"/>
                <w:color w:val="000000"/>
                <w:szCs w:val="22"/>
              </w:rPr>
            </w:pPr>
            <w:r w:rsidRPr="00F337E6">
              <w:rPr>
                <w:rFonts w:cs="Arial"/>
                <w:color w:val="000000"/>
                <w:szCs w:val="22"/>
              </w:rPr>
              <w:lastRenderedPageBreak/>
              <w:t>Through training, coaching and mentoring from senior leaders, we will ensure that teachers and staff are confident and have the necessary subject knowledge and pedagogy to deliver high-quality teaching, learning and assessment, including same day catch up sessions.  </w:t>
            </w:r>
          </w:p>
        </w:tc>
      </w:tr>
      <w:tr w:rsidR="00F337E6" w:rsidRPr="00F337E6" w14:paraId="5623370C"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4B7BF333" w14:textId="77777777" w:rsidR="00F337E6" w:rsidRPr="00F337E6" w:rsidRDefault="00F337E6" w:rsidP="00F337E6">
            <w:pPr>
              <w:spacing w:before="60" w:after="60" w:line="240" w:lineRule="auto"/>
              <w:ind w:left="57" w:right="57"/>
              <w:rPr>
                <w:rFonts w:eastAsia="Arial" w:cs="Arial"/>
                <w:color w:val="auto"/>
                <w:sz w:val="22"/>
                <w:szCs w:val="22"/>
              </w:rPr>
            </w:pPr>
            <w:r w:rsidRPr="00F337E6">
              <w:rPr>
                <w:rFonts w:eastAsia="Arial" w:cs="Arial"/>
                <w:color w:val="auto"/>
                <w:sz w:val="22"/>
                <w:szCs w:val="22"/>
              </w:rPr>
              <w:t>Evidence of Impact:</w:t>
            </w:r>
          </w:p>
          <w:p w14:paraId="6D2DBB19" w14:textId="77777777" w:rsidR="00F337E6" w:rsidRPr="00F337E6" w:rsidRDefault="00F337E6" w:rsidP="00F337E6">
            <w:pPr>
              <w:spacing w:before="60" w:after="60" w:line="240" w:lineRule="auto"/>
              <w:ind w:right="57"/>
              <w:rPr>
                <w:rFonts w:eastAsia="Arial" w:cs="Arial"/>
                <w:color w:val="auto"/>
                <w:szCs w:val="20"/>
              </w:rPr>
            </w:pPr>
            <w:r w:rsidRPr="00F337E6">
              <w:rPr>
                <w:rFonts w:eastAsia="Arial" w:cs="Arial"/>
                <w:color w:val="auto"/>
                <w:szCs w:val="20"/>
              </w:rPr>
              <w:t xml:space="preserve">Teachers have increased understanding of the DfE Primary Guidance and how to use it (evidenced in lesson planning where </w:t>
            </w:r>
            <w:proofErr w:type="spellStart"/>
            <w:r w:rsidRPr="00F337E6">
              <w:rPr>
                <w:rFonts w:eastAsia="Arial" w:cs="Arial"/>
                <w:color w:val="auto"/>
                <w:szCs w:val="20"/>
              </w:rPr>
              <w:t>RtP’s</w:t>
            </w:r>
            <w:proofErr w:type="spellEnd"/>
            <w:r w:rsidRPr="00F337E6">
              <w:rPr>
                <w:rFonts w:eastAsia="Arial" w:cs="Arial"/>
                <w:color w:val="auto"/>
                <w:szCs w:val="20"/>
              </w:rPr>
              <w:t xml:space="preserve"> have been used to assess start points and additional lessons have been added). </w:t>
            </w:r>
          </w:p>
          <w:p w14:paraId="0E6FAA8B" w14:textId="77777777" w:rsidR="00F337E6" w:rsidRPr="00F337E6" w:rsidRDefault="00F337E6" w:rsidP="00F337E6">
            <w:pPr>
              <w:spacing w:before="60" w:after="60" w:line="240" w:lineRule="auto"/>
              <w:ind w:right="57"/>
              <w:rPr>
                <w:rFonts w:eastAsia="Arial" w:cs="Arial"/>
                <w:color w:val="auto"/>
              </w:rPr>
            </w:pPr>
            <w:r w:rsidRPr="00F337E6">
              <w:rPr>
                <w:rFonts w:eastAsia="Arial" w:cs="Arial"/>
                <w:color w:val="auto"/>
              </w:rPr>
              <w:t>Teachers are using the NCETM Assessment Questions to ensure that the pitch of lesson is accurate (evidenced in lesson plans).</w:t>
            </w:r>
          </w:p>
          <w:p w14:paraId="6CEE3EBB" w14:textId="77777777" w:rsidR="00F337E6" w:rsidRPr="00F337E6" w:rsidRDefault="00F337E6" w:rsidP="00F337E6">
            <w:pPr>
              <w:spacing w:before="60" w:after="60" w:line="240" w:lineRule="auto"/>
              <w:ind w:right="57"/>
              <w:rPr>
                <w:rFonts w:eastAsia="Arial" w:cs="Arial"/>
                <w:color w:val="auto"/>
                <w:szCs w:val="20"/>
              </w:rPr>
            </w:pPr>
            <w:r w:rsidRPr="00F337E6">
              <w:rPr>
                <w:rFonts w:eastAsia="Arial" w:cs="Arial"/>
                <w:color w:val="auto"/>
                <w:szCs w:val="20"/>
              </w:rPr>
              <w:t xml:space="preserve">Experienced teachers have a greater understanding of sequencing, representation &amp; structure and variation when planning High Quality lessons (evidenced in lesson planning and feedback from Open Lessons) </w:t>
            </w:r>
          </w:p>
          <w:p w14:paraId="0AE97A88" w14:textId="77777777" w:rsidR="00F337E6" w:rsidRPr="00F337E6" w:rsidRDefault="00F337E6" w:rsidP="00F337E6">
            <w:pPr>
              <w:spacing w:before="60" w:after="60" w:line="240" w:lineRule="auto"/>
              <w:ind w:right="57"/>
              <w:rPr>
                <w:rFonts w:eastAsia="Arial" w:cs="Arial"/>
                <w:color w:val="0D0D0D" w:themeColor="text1" w:themeTint="F2"/>
              </w:rPr>
            </w:pPr>
            <w:r w:rsidRPr="00F337E6">
              <w:rPr>
                <w:rFonts w:eastAsia="Arial" w:cs="Arial"/>
                <w:color w:val="auto"/>
              </w:rPr>
              <w:t>Teachers have a better understanding of how develop the written reasoning of the previous high attaining learner (evidence in pupils maths journals)</w:t>
            </w:r>
          </w:p>
          <w:p w14:paraId="3A0E6AC7" w14:textId="77777777" w:rsidR="00F337E6" w:rsidRPr="00F337E6" w:rsidRDefault="00F337E6" w:rsidP="00F337E6">
            <w:pPr>
              <w:spacing w:before="60" w:after="60" w:line="240" w:lineRule="auto"/>
              <w:ind w:right="57"/>
              <w:rPr>
                <w:rFonts w:eastAsia="Arial" w:cs="Arial"/>
                <w:color w:val="0D0D0D" w:themeColor="text1" w:themeTint="F2"/>
              </w:rPr>
            </w:pPr>
            <w:r w:rsidRPr="00F337E6">
              <w:rPr>
                <w:rFonts w:eastAsia="Arial" w:cs="Arial"/>
                <w:color w:val="0D0D0D" w:themeColor="text1" w:themeTint="F2"/>
              </w:rPr>
              <w:t>New to career teachers have developed subject knowledge through the completion of the NCETM SKTM programme and coaching (evidence in independent lesson planning)</w:t>
            </w:r>
          </w:p>
        </w:tc>
      </w:tr>
      <w:tr w:rsidR="00F337E6" w:rsidRPr="00F337E6" w14:paraId="2D58D60C"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3B0A3" w14:textId="77777777" w:rsidR="00F337E6" w:rsidRPr="00F337E6" w:rsidRDefault="00F337E6" w:rsidP="00F337E6">
            <w:pPr>
              <w:suppressAutoHyphens w:val="0"/>
              <w:autoSpaceDN/>
              <w:spacing w:before="60" w:after="0" w:line="240" w:lineRule="auto"/>
              <w:ind w:left="29"/>
              <w:rPr>
                <w:rFonts w:cs="Arial"/>
                <w:iCs/>
                <w:color w:val="auto"/>
                <w:lang w:val="en-US" w:eastAsia="en-US"/>
              </w:rPr>
            </w:pPr>
            <w:r w:rsidRPr="00F337E6">
              <w:rPr>
                <w:rFonts w:cs="Arial"/>
                <w:iCs/>
                <w:color w:val="auto"/>
                <w:lang w:val="en-US" w:eastAsia="en-US"/>
              </w:rPr>
              <w:t>Improve the quality of social and emotional (SEL) learning.</w:t>
            </w:r>
          </w:p>
          <w:p w14:paraId="489C188F" w14:textId="77777777" w:rsidR="00F337E6" w:rsidRPr="00F337E6" w:rsidRDefault="00F337E6" w:rsidP="00F337E6">
            <w:pPr>
              <w:suppressAutoHyphens w:val="0"/>
              <w:autoSpaceDN/>
              <w:spacing w:after="0" w:line="240" w:lineRule="auto"/>
              <w:rPr>
                <w:rFonts w:cs="Arial"/>
                <w:iCs/>
                <w:color w:val="auto"/>
                <w:lang w:val="en-US" w:eastAsia="en-US"/>
              </w:rPr>
            </w:pPr>
          </w:p>
          <w:p w14:paraId="2766FA65" w14:textId="77777777" w:rsidR="00F337E6" w:rsidRPr="00F337E6" w:rsidRDefault="00F337E6" w:rsidP="00F337E6">
            <w:pPr>
              <w:suppressAutoHyphens w:val="0"/>
              <w:autoSpaceDN/>
              <w:spacing w:line="240" w:lineRule="auto"/>
              <w:rPr>
                <w:rFonts w:cs="Arial"/>
                <w:iCs/>
                <w:color w:val="auto"/>
                <w:lang w:val="en-US" w:eastAsia="en-US"/>
              </w:rPr>
            </w:pPr>
            <w:r w:rsidRPr="00F337E6">
              <w:rPr>
                <w:rFonts w:cs="Arial"/>
                <w:iCs/>
                <w:color w:val="auto"/>
                <w:lang w:val="en-US" w:eastAsia="en-US"/>
              </w:rPr>
              <w:t>SEL approaches will be embedded into routine educational practices and supported by professional development and training for staff:</w:t>
            </w:r>
          </w:p>
          <w:p w14:paraId="34A0C35E" w14:textId="77777777" w:rsidR="00F337E6" w:rsidRPr="00F337E6" w:rsidRDefault="00F337E6" w:rsidP="00F337E6">
            <w:pPr>
              <w:numPr>
                <w:ilvl w:val="0"/>
                <w:numId w:val="35"/>
              </w:numPr>
              <w:suppressAutoHyphens w:val="0"/>
              <w:autoSpaceDN/>
              <w:spacing w:line="240" w:lineRule="auto"/>
              <w:contextualSpacing/>
              <w:rPr>
                <w:rFonts w:cs="Arial"/>
                <w:iCs/>
                <w:color w:val="auto"/>
                <w:lang w:val="en-US" w:eastAsia="en-US"/>
              </w:rPr>
            </w:pPr>
            <w:r w:rsidRPr="00F337E6">
              <w:rPr>
                <w:rFonts w:cs="Arial"/>
                <w:iCs/>
                <w:color w:val="auto"/>
                <w:lang w:val="en-US" w:eastAsia="en-US"/>
              </w:rPr>
              <w:t>Senior learning mentor to receive training to become ELSA (Emotional literacy support assistant)</w:t>
            </w:r>
          </w:p>
          <w:p w14:paraId="1673BC5A" w14:textId="77777777" w:rsidR="00F337E6" w:rsidRPr="00F337E6" w:rsidRDefault="00F337E6" w:rsidP="00F337E6">
            <w:pPr>
              <w:numPr>
                <w:ilvl w:val="0"/>
                <w:numId w:val="35"/>
              </w:numPr>
              <w:suppressAutoHyphens w:val="0"/>
              <w:autoSpaceDN/>
              <w:spacing w:line="240" w:lineRule="auto"/>
              <w:contextualSpacing/>
              <w:rPr>
                <w:rFonts w:cs="Arial"/>
                <w:iCs/>
                <w:color w:val="auto"/>
                <w:lang w:val="en-US" w:eastAsia="en-US"/>
              </w:rPr>
            </w:pPr>
            <w:r w:rsidRPr="00F337E6">
              <w:rPr>
                <w:rFonts w:cs="Arial"/>
                <w:iCs/>
                <w:color w:val="auto"/>
                <w:lang w:val="en-US" w:eastAsia="en-US"/>
              </w:rPr>
              <w:t>ELSA to deliver whole-school training and provide resources to support SEL</w:t>
            </w:r>
          </w:p>
          <w:p w14:paraId="710D7BF2" w14:textId="77777777" w:rsidR="00F337E6" w:rsidRPr="00F337E6" w:rsidRDefault="00F337E6" w:rsidP="00F337E6">
            <w:pPr>
              <w:spacing w:before="60" w:after="60" w:line="240" w:lineRule="auto"/>
              <w:ind w:right="57"/>
              <w:rPr>
                <w:color w:val="auto"/>
                <w:highlight w:val="yellow"/>
              </w:rPr>
            </w:pPr>
            <w:r w:rsidRPr="00F337E6">
              <w:rPr>
                <w:rFonts w:cs="Arial"/>
                <w:iCs/>
                <w:color w:val="auto"/>
                <w:szCs w:val="20"/>
                <w:lang w:val="en-US" w:eastAsia="en-US"/>
              </w:rPr>
              <w:t>ELSA to receive supervision</w:t>
            </w:r>
          </w:p>
        </w:tc>
      </w:tr>
      <w:tr w:rsidR="00F337E6" w:rsidRPr="00F337E6" w14:paraId="27F2F1F1"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441849D3"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Evidence of Impact:</w:t>
            </w:r>
          </w:p>
          <w:p w14:paraId="72D4F7B8"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Senior learning mentor completed ELSA training. Pupils were identified across school who would benefit from Emotional literacy support. This included supporting with bereavement, friendships, trauma and regulated emotions, self-harm and suicidal thoughts.</w:t>
            </w:r>
          </w:p>
          <w:p w14:paraId="6F304667" w14:textId="77777777" w:rsidR="00F337E6" w:rsidRPr="00F337E6" w:rsidRDefault="00F337E6" w:rsidP="00F337E6">
            <w:pPr>
              <w:spacing w:before="60" w:after="60" w:line="240" w:lineRule="auto"/>
              <w:ind w:left="57" w:right="57"/>
              <w:rPr>
                <w:color w:val="0D0D0D" w:themeColor="text1" w:themeTint="F2"/>
              </w:rPr>
            </w:pPr>
            <w:r w:rsidRPr="00F337E6">
              <w:rPr>
                <w:color w:val="auto"/>
                <w:sz w:val="22"/>
                <w:szCs w:val="22"/>
              </w:rPr>
              <w:t xml:space="preserve">8 children support with regulating emotions, 3 with self-harm, 1 with suicidal thoughts, 3 bereavements, 12 </w:t>
            </w:r>
            <w:proofErr w:type="gramStart"/>
            <w:r w:rsidRPr="00F337E6">
              <w:rPr>
                <w:color w:val="auto"/>
                <w:sz w:val="22"/>
                <w:szCs w:val="22"/>
              </w:rPr>
              <w:t>trauma</w:t>
            </w:r>
            <w:proofErr w:type="gramEnd"/>
            <w:r w:rsidRPr="00F337E6">
              <w:rPr>
                <w:color w:val="auto"/>
                <w:sz w:val="22"/>
                <w:szCs w:val="22"/>
              </w:rPr>
              <w:t>. All made progress on Boxall profiling, with support children were able to understand self-harm and keep themselves safe.</w:t>
            </w:r>
          </w:p>
          <w:p w14:paraId="2A09C14D"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Whole school training delivered around zones of regulation; this is being used within classrooms and supporting children to identify and self-regulate emotions.</w:t>
            </w:r>
          </w:p>
          <w:p w14:paraId="53495F65" w14:textId="77777777" w:rsidR="00F337E6" w:rsidRPr="00F337E6" w:rsidRDefault="00F337E6" w:rsidP="00F337E6">
            <w:pPr>
              <w:spacing w:before="60" w:after="60" w:line="240" w:lineRule="auto"/>
              <w:ind w:left="57" w:right="57"/>
              <w:rPr>
                <w:color w:val="0D0D0D" w:themeColor="text1" w:themeTint="F2"/>
              </w:rPr>
            </w:pPr>
            <w:r w:rsidRPr="00F337E6">
              <w:rPr>
                <w:color w:val="auto"/>
                <w:sz w:val="22"/>
                <w:szCs w:val="22"/>
              </w:rPr>
              <w:t>Training and modelling for learning mentors has enables them to be able to support successfully in classrooms, using ELSA strategies. They are now able to model and support teachers.</w:t>
            </w:r>
          </w:p>
          <w:p w14:paraId="40DD76EA" w14:textId="77777777" w:rsidR="00F337E6" w:rsidRPr="00F337E6" w:rsidRDefault="00F337E6" w:rsidP="00F337E6">
            <w:pPr>
              <w:spacing w:before="60" w:after="60" w:line="240" w:lineRule="auto"/>
              <w:ind w:left="57" w:right="57"/>
              <w:rPr>
                <w:color w:val="0D0D0D" w:themeColor="text1" w:themeTint="F2"/>
              </w:rPr>
            </w:pPr>
            <w:r w:rsidRPr="00F337E6">
              <w:rPr>
                <w:color w:val="auto"/>
                <w:sz w:val="22"/>
                <w:szCs w:val="22"/>
              </w:rPr>
              <w:t>Training delivered through conversations with staff around supporting children with emotions empowers staff to successful manage behaviour.</w:t>
            </w:r>
          </w:p>
          <w:p w14:paraId="0B27C4F4" w14:textId="77777777" w:rsidR="00F337E6" w:rsidRPr="00F337E6" w:rsidRDefault="00F337E6" w:rsidP="00F337E6">
            <w:pPr>
              <w:spacing w:before="60" w:after="60" w:line="240" w:lineRule="auto"/>
              <w:ind w:left="57" w:right="57"/>
              <w:rPr>
                <w:color w:val="auto"/>
                <w:sz w:val="22"/>
                <w:szCs w:val="22"/>
              </w:rPr>
            </w:pPr>
            <w:r w:rsidRPr="00F337E6">
              <w:rPr>
                <w:color w:val="auto"/>
                <w:sz w:val="22"/>
                <w:szCs w:val="22"/>
              </w:rPr>
              <w:t xml:space="preserve">Supervision completed and ongoing- networking, sharing resources, opportunity to discuss strategies with other professionals on anonymised caseloads. This can then be used to support children within our setting. </w:t>
            </w:r>
          </w:p>
          <w:p w14:paraId="0FBB853B" w14:textId="77777777" w:rsidR="00F337E6" w:rsidRPr="00F337E6" w:rsidRDefault="00F337E6" w:rsidP="00F337E6">
            <w:pPr>
              <w:spacing w:before="60" w:after="60" w:line="240" w:lineRule="auto"/>
              <w:ind w:left="57" w:right="57"/>
              <w:rPr>
                <w:color w:val="0D0D0D" w:themeColor="text1" w:themeTint="F2"/>
              </w:rPr>
            </w:pPr>
          </w:p>
        </w:tc>
      </w:tr>
    </w:tbl>
    <w:p w14:paraId="70539913" w14:textId="5312A24A" w:rsidR="00F337E6" w:rsidRDefault="00F337E6" w:rsidP="00D703F8">
      <w:pPr>
        <w:spacing w:after="120"/>
        <w:rPr>
          <w:b/>
          <w:bCs/>
          <w:color w:val="104F75"/>
          <w:sz w:val="28"/>
          <w:szCs w:val="28"/>
        </w:rPr>
      </w:pPr>
    </w:p>
    <w:p w14:paraId="0CE8D19E" w14:textId="5ABE60FB" w:rsidR="00F337E6" w:rsidRDefault="00F337E6" w:rsidP="00D703F8">
      <w:pPr>
        <w:spacing w:after="120"/>
        <w:rPr>
          <w:b/>
          <w:bCs/>
          <w:color w:val="104F75"/>
          <w:sz w:val="28"/>
          <w:szCs w:val="28"/>
        </w:rPr>
      </w:pPr>
    </w:p>
    <w:p w14:paraId="549B5B11" w14:textId="77777777" w:rsidR="00F337E6" w:rsidRPr="00F337E6" w:rsidRDefault="00F337E6" w:rsidP="00D703F8">
      <w:pPr>
        <w:spacing w:after="120"/>
        <w:rPr>
          <w:b/>
          <w:bCs/>
          <w:color w:val="104F75"/>
          <w:sz w:val="28"/>
          <w:szCs w:val="28"/>
        </w:rPr>
      </w:pPr>
    </w:p>
    <w:tbl>
      <w:tblPr>
        <w:tblW w:w="5000" w:type="pct"/>
        <w:tblLayout w:type="fixed"/>
        <w:tblCellMar>
          <w:left w:w="10" w:type="dxa"/>
          <w:right w:w="10" w:type="dxa"/>
        </w:tblCellMar>
        <w:tblLook w:val="04A0" w:firstRow="1" w:lastRow="0" w:firstColumn="1" w:lastColumn="0" w:noHBand="0" w:noVBand="1"/>
      </w:tblPr>
      <w:tblGrid>
        <w:gridCol w:w="9486"/>
      </w:tblGrid>
      <w:tr w:rsidR="00F337E6" w:rsidRPr="00F337E6" w14:paraId="3B448A15"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2B1D4FB" w14:textId="77777777" w:rsidR="00F337E6" w:rsidRPr="00F337E6" w:rsidRDefault="00F337E6" w:rsidP="008F61F5">
            <w:pPr>
              <w:contextualSpacing/>
              <w:rPr>
                <w:b/>
              </w:rPr>
            </w:pPr>
            <w:r w:rsidRPr="00F337E6">
              <w:rPr>
                <w:b/>
                <w:bCs/>
                <w:color w:val="auto"/>
                <w:szCs w:val="28"/>
              </w:rPr>
              <w:t xml:space="preserve">Targeted academic support </w:t>
            </w:r>
            <w:r w:rsidRPr="00F337E6">
              <w:rPr>
                <w:b/>
                <w:color w:val="auto"/>
                <w:sz w:val="22"/>
              </w:rPr>
              <w:t xml:space="preserve">Budgeted cost: </w:t>
            </w:r>
            <w:r w:rsidRPr="00F337E6">
              <w:rPr>
                <w:b/>
                <w:bCs/>
                <w:color w:val="auto"/>
                <w:sz w:val="22"/>
              </w:rPr>
              <w:t>£87,719</w:t>
            </w:r>
          </w:p>
        </w:tc>
      </w:tr>
      <w:tr w:rsidR="00F337E6" w:rsidRPr="00295351" w14:paraId="38C541C4"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22CDB" w14:textId="77777777" w:rsidR="00F337E6" w:rsidRDefault="00F337E6" w:rsidP="008F61F5">
            <w:pPr>
              <w:pStyle w:val="TableRow"/>
              <w:spacing w:after="120"/>
              <w:ind w:left="0"/>
              <w:rPr>
                <w:rFonts w:cs="Arial"/>
                <w:color w:val="auto"/>
                <w:lang w:val="en-US"/>
              </w:rPr>
            </w:pPr>
            <w:r w:rsidRPr="007D4E98">
              <w:rPr>
                <w:rFonts w:cs="Arial"/>
                <w:color w:val="auto"/>
                <w:lang w:val="en-US"/>
              </w:rPr>
              <w:t xml:space="preserve">SALT Specialist </w:t>
            </w:r>
            <w:r>
              <w:rPr>
                <w:rFonts w:cs="Arial"/>
                <w:color w:val="auto"/>
                <w:lang w:val="en-US"/>
              </w:rPr>
              <w:t>to provide ½ day support each week.</w:t>
            </w:r>
          </w:p>
          <w:p w14:paraId="6A2FB69B" w14:textId="77777777" w:rsidR="00F337E6" w:rsidRPr="007D4E98" w:rsidRDefault="00F337E6" w:rsidP="008F61F5">
            <w:pPr>
              <w:pStyle w:val="TableRow"/>
              <w:spacing w:after="120"/>
              <w:rPr>
                <w:rFonts w:cs="Arial"/>
                <w:color w:val="auto"/>
                <w:lang w:val="en-US"/>
              </w:rPr>
            </w:pPr>
            <w:r>
              <w:rPr>
                <w:rFonts w:cs="Arial"/>
                <w:color w:val="auto"/>
                <w:lang w:val="en-US"/>
              </w:rPr>
              <w:t>Trained teaching assistant to provide wider SALT interventions across the school every afternoon</w:t>
            </w:r>
          </w:p>
          <w:p w14:paraId="437D4B79" w14:textId="77777777" w:rsidR="00F337E6" w:rsidRPr="00295351" w:rsidRDefault="00F337E6" w:rsidP="008F61F5">
            <w:pPr>
              <w:pStyle w:val="TableRowCentered"/>
              <w:ind w:left="0"/>
              <w:jc w:val="left"/>
              <w:rPr>
                <w:color w:val="auto"/>
                <w:szCs w:val="22"/>
              </w:rPr>
            </w:pPr>
          </w:p>
        </w:tc>
      </w:tr>
      <w:tr w:rsidR="00F337E6" w:rsidRPr="00295351" w14:paraId="7D3EA033"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0278C9C2" w14:textId="77777777" w:rsidR="00F337E6" w:rsidRDefault="00F337E6" w:rsidP="008F61F5">
            <w:pPr>
              <w:pStyle w:val="TableRowCentered"/>
              <w:jc w:val="left"/>
              <w:rPr>
                <w:color w:val="auto"/>
                <w:sz w:val="22"/>
                <w:szCs w:val="22"/>
              </w:rPr>
            </w:pPr>
            <w:r w:rsidRPr="216F7F31">
              <w:rPr>
                <w:color w:val="auto"/>
                <w:sz w:val="22"/>
                <w:szCs w:val="22"/>
              </w:rPr>
              <w:t>Evidence of Impact:</w:t>
            </w:r>
          </w:p>
          <w:p w14:paraId="6EE0CAE0" w14:textId="77777777" w:rsidR="00F337E6" w:rsidRDefault="00F337E6" w:rsidP="008F61F5">
            <w:pPr>
              <w:pStyle w:val="TableRowCentered"/>
              <w:ind w:left="0"/>
              <w:jc w:val="left"/>
              <w:rPr>
                <w:color w:val="000000" w:themeColor="text1"/>
                <w:szCs w:val="24"/>
              </w:rPr>
            </w:pPr>
            <w:r w:rsidRPr="60273EDF">
              <w:rPr>
                <w:color w:val="auto"/>
                <w:sz w:val="22"/>
                <w:szCs w:val="22"/>
              </w:rPr>
              <w:t>Assessments show children achieving their SALT targets. Increased amount of NHS referrals which promotes joint working between health and school. Salt interventions provide evidence for these referrals.</w:t>
            </w:r>
          </w:p>
          <w:p w14:paraId="40D3E472" w14:textId="77777777" w:rsidR="00F337E6" w:rsidRDefault="00F337E6" w:rsidP="008F61F5">
            <w:pPr>
              <w:pStyle w:val="TableRowCentered"/>
              <w:spacing w:line="259" w:lineRule="auto"/>
              <w:ind w:left="0"/>
              <w:jc w:val="left"/>
              <w:rPr>
                <w:color w:val="0D0D0D" w:themeColor="text1" w:themeTint="F2"/>
                <w:szCs w:val="24"/>
              </w:rPr>
            </w:pPr>
            <w:r w:rsidRPr="216F7F31">
              <w:rPr>
                <w:color w:val="auto"/>
                <w:sz w:val="22"/>
                <w:szCs w:val="22"/>
              </w:rPr>
              <w:t xml:space="preserve">SALT specialist and TA build evidence when applying for SSPP and EHCP to further support children. SSPP and EHCP applications all successful. This ensures funding is in place for children to have access to the support needed to achieve. </w:t>
            </w:r>
          </w:p>
          <w:p w14:paraId="1BEFB791" w14:textId="77777777" w:rsidR="00F337E6" w:rsidRDefault="00F337E6" w:rsidP="008F61F5">
            <w:pPr>
              <w:pStyle w:val="TableRowCentered"/>
              <w:ind w:left="0"/>
              <w:jc w:val="left"/>
              <w:rPr>
                <w:color w:val="0D0D0D" w:themeColor="text1" w:themeTint="F2"/>
                <w:szCs w:val="24"/>
              </w:rPr>
            </w:pPr>
            <w:r w:rsidRPr="216F7F31">
              <w:rPr>
                <w:color w:val="auto"/>
                <w:sz w:val="22"/>
                <w:szCs w:val="22"/>
              </w:rPr>
              <w:t xml:space="preserve">SALT specialist has worked 1:1 with teachers to develop their knowledge and skill to support children in their class. </w:t>
            </w:r>
          </w:p>
          <w:p w14:paraId="5661FA75" w14:textId="77777777" w:rsidR="00F337E6" w:rsidRDefault="00F337E6" w:rsidP="008F61F5">
            <w:pPr>
              <w:pStyle w:val="TableRowCentered"/>
              <w:ind w:left="0"/>
              <w:jc w:val="left"/>
              <w:rPr>
                <w:color w:val="auto"/>
                <w:sz w:val="22"/>
                <w:szCs w:val="22"/>
              </w:rPr>
            </w:pPr>
            <w:r w:rsidRPr="60273EDF">
              <w:rPr>
                <w:color w:val="auto"/>
                <w:sz w:val="22"/>
                <w:szCs w:val="22"/>
              </w:rPr>
              <w:t xml:space="preserve">Transition groups for year 6 pupils with DLD allowed for </w:t>
            </w:r>
            <w:bookmarkStart w:id="20" w:name="_Int_TNCzdhxR"/>
            <w:r w:rsidRPr="60273EDF">
              <w:rPr>
                <w:color w:val="auto"/>
                <w:sz w:val="22"/>
                <w:szCs w:val="22"/>
              </w:rPr>
              <w:t>a successful</w:t>
            </w:r>
            <w:bookmarkEnd w:id="20"/>
            <w:r w:rsidRPr="60273EDF">
              <w:rPr>
                <w:color w:val="auto"/>
                <w:sz w:val="22"/>
                <w:szCs w:val="22"/>
              </w:rPr>
              <w:t xml:space="preserve"> transition to secondary for SEN pupils. This intervention improved children’s mental health as they were able to understand their diagnosis and develop strategies to support themselves. </w:t>
            </w:r>
          </w:p>
          <w:p w14:paraId="07D250F8" w14:textId="77777777" w:rsidR="00F337E6" w:rsidRDefault="00F337E6" w:rsidP="008F61F5">
            <w:pPr>
              <w:pStyle w:val="TableRowCentered"/>
              <w:ind w:left="0"/>
              <w:jc w:val="left"/>
              <w:rPr>
                <w:color w:val="auto"/>
                <w:szCs w:val="22"/>
              </w:rPr>
            </w:pPr>
          </w:p>
          <w:p w14:paraId="2A78F43D" w14:textId="77777777" w:rsidR="00F337E6" w:rsidRPr="00295351" w:rsidRDefault="00F337E6" w:rsidP="008F61F5">
            <w:pPr>
              <w:pStyle w:val="TableRowCentered"/>
              <w:jc w:val="left"/>
              <w:rPr>
                <w:color w:val="auto"/>
                <w:szCs w:val="22"/>
              </w:rPr>
            </w:pPr>
          </w:p>
        </w:tc>
      </w:tr>
      <w:tr w:rsidR="00F337E6" w:rsidRPr="00295351" w14:paraId="7101D1A5"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4AEC6" w14:textId="77777777" w:rsidR="00F337E6" w:rsidRPr="00295351" w:rsidRDefault="00F337E6" w:rsidP="008F61F5">
            <w:pPr>
              <w:pStyle w:val="TableRowCentered"/>
              <w:jc w:val="left"/>
              <w:rPr>
                <w:color w:val="auto"/>
                <w:szCs w:val="22"/>
              </w:rPr>
            </w:pPr>
            <w:r w:rsidRPr="2F6B47BC">
              <w:rPr>
                <w:rFonts w:cs="Arial"/>
                <w:color w:val="auto"/>
                <w:lang w:val="en-US"/>
              </w:rPr>
              <w:t xml:space="preserve">Standards Teachers </w:t>
            </w:r>
            <w:r>
              <w:rPr>
                <w:rFonts w:cs="Arial"/>
                <w:color w:val="auto"/>
                <w:lang w:val="en-US"/>
              </w:rPr>
              <w:t xml:space="preserve">and additional teaching assistants to deliver </w:t>
            </w:r>
            <w:r>
              <w:rPr>
                <w:rFonts w:cs="Arial"/>
                <w:iCs/>
                <w:color w:val="auto"/>
                <w:lang w:val="en-US"/>
              </w:rPr>
              <w:t>S</w:t>
            </w:r>
            <w:r w:rsidRPr="00E27862">
              <w:rPr>
                <w:rFonts w:cs="Arial"/>
                <w:iCs/>
                <w:color w:val="auto"/>
                <w:lang w:val="en-US"/>
              </w:rPr>
              <w:t>chool-led tutoring for pupils whose education has been most impacted by the pandemic. A significant proportion of the pupils who receive tutoring will be disadvantaged, including those who are high attainers.</w:t>
            </w:r>
          </w:p>
        </w:tc>
      </w:tr>
      <w:tr w:rsidR="00F337E6" w14:paraId="1D9450B1"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6DD4A079" w14:textId="77777777" w:rsidR="00F337E6" w:rsidRDefault="00F337E6" w:rsidP="008F61F5">
            <w:r>
              <w:t xml:space="preserve">Evidence of Impact: </w:t>
            </w:r>
          </w:p>
          <w:p w14:paraId="111D33C7" w14:textId="77777777" w:rsidR="00F337E6" w:rsidRDefault="00F337E6" w:rsidP="008F61F5">
            <w:r>
              <w:t>Targeted interventions delivered by standards teachers and teaching assistants have had an impact on disadvantaged pupils making progress.</w:t>
            </w:r>
          </w:p>
          <w:p w14:paraId="28580979" w14:textId="77777777" w:rsidR="00F337E6" w:rsidRDefault="00F337E6" w:rsidP="008F61F5">
            <w:r>
              <w:t xml:space="preserve">KS2 2016: 52% of the cohort were disadvantaged, of the 46 disadvantaged pupils, 14 were SEN (30%). </w:t>
            </w:r>
          </w:p>
          <w:p w14:paraId="547038ED" w14:textId="77777777" w:rsidR="00F337E6" w:rsidRDefault="00F337E6" w:rsidP="008F61F5">
            <w:r>
              <w:t xml:space="preserve">Without SEND pupils, the attainment of disadvantaged pupils is significantly higher than that of disadvantaged pupils nationally in maths (69%/56% +17) and the gap is -4.6 compared to national. </w:t>
            </w:r>
          </w:p>
          <w:p w14:paraId="7044D15C" w14:textId="77777777" w:rsidR="00F337E6" w:rsidRDefault="00F337E6" w:rsidP="008F61F5">
            <w:r>
              <w:t>In reading, attainment of disadvantaged pupils without SEN was +19 compared with disadvantaged pupils nationally (81.3%/62%) and the gap between the non-disadvantaged was -2 (81.3% / 83.3%) compared with the national gap of –18</w:t>
            </w:r>
          </w:p>
          <w:p w14:paraId="1B209A87" w14:textId="77777777" w:rsidR="00F337E6" w:rsidRDefault="00F337E6" w:rsidP="008F61F5">
            <w:r>
              <w:t xml:space="preserve">In writing, the attainment of disadvantaged pupils without SEN was 0.4% above other pupils without SEND. 8% of all disadvantaged pupils achieved the higher standard in writing, +2.9% above all other pupils. </w:t>
            </w:r>
          </w:p>
          <w:p w14:paraId="4CD4FA4B" w14:textId="77777777" w:rsidR="00F337E6" w:rsidRDefault="00F337E6" w:rsidP="008F61F5">
            <w:r>
              <w:lastRenderedPageBreak/>
              <w:t xml:space="preserve">In </w:t>
            </w:r>
            <w:proofErr w:type="gramStart"/>
            <w:r>
              <w:t>R,W</w:t>
            </w:r>
            <w:proofErr w:type="gramEnd"/>
            <w:r>
              <w:t>&amp;M combined, 4% of disadvantaged pupils achieved the higher standard, compared with 2.6% of other pupils (+2.6%)</w:t>
            </w:r>
          </w:p>
          <w:p w14:paraId="2192F381" w14:textId="77777777" w:rsidR="00F337E6" w:rsidRDefault="00F337E6" w:rsidP="008F61F5">
            <w:pPr>
              <w:rPr>
                <w:color w:val="0D0D0D" w:themeColor="text1" w:themeTint="F2"/>
              </w:rPr>
            </w:pPr>
          </w:p>
        </w:tc>
      </w:tr>
    </w:tbl>
    <w:p w14:paraId="4492D7AC" w14:textId="7C2163F2" w:rsidR="00F337E6" w:rsidRDefault="00F337E6" w:rsidP="00D703F8">
      <w:pPr>
        <w:spacing w:after="120"/>
        <w:rPr>
          <w:b/>
          <w:bCs/>
          <w:color w:val="104F75"/>
          <w:sz w:val="28"/>
          <w:szCs w:val="28"/>
        </w:rPr>
      </w:pPr>
    </w:p>
    <w:p w14:paraId="28043A5E" w14:textId="77777777" w:rsidR="00F337E6" w:rsidRDefault="00F337E6" w:rsidP="00D703F8">
      <w:pPr>
        <w:spacing w:after="120"/>
        <w:rPr>
          <w:b/>
          <w:bCs/>
          <w:color w:val="104F75"/>
          <w:sz w:val="28"/>
          <w:szCs w:val="28"/>
        </w:rPr>
      </w:pPr>
    </w:p>
    <w:tbl>
      <w:tblPr>
        <w:tblW w:w="9486" w:type="dxa"/>
        <w:tblLayout w:type="fixed"/>
        <w:tblCellMar>
          <w:left w:w="10" w:type="dxa"/>
          <w:right w:w="10" w:type="dxa"/>
        </w:tblCellMar>
        <w:tblLook w:val="04A0" w:firstRow="1" w:lastRow="0" w:firstColumn="1" w:lastColumn="0" w:noHBand="0" w:noVBand="1"/>
      </w:tblPr>
      <w:tblGrid>
        <w:gridCol w:w="9486"/>
      </w:tblGrid>
      <w:tr w:rsidR="00F337E6" w14:paraId="3975A0A8"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0AE4ABB" w14:textId="77777777" w:rsidR="00F337E6" w:rsidRDefault="00F337E6" w:rsidP="008F61F5">
            <w:pPr>
              <w:pStyle w:val="TableHeader"/>
              <w:jc w:val="left"/>
            </w:pPr>
            <w:r w:rsidRPr="0048113A">
              <w:rPr>
                <w:color w:val="auto"/>
                <w:sz w:val="28"/>
                <w:szCs w:val="28"/>
              </w:rPr>
              <w:t>Wider strategies</w:t>
            </w:r>
            <w:r w:rsidRPr="0048113A">
              <w:rPr>
                <w:color w:val="auto"/>
              </w:rPr>
              <w:t xml:space="preserve"> Budgeted cost: </w:t>
            </w:r>
            <w:r w:rsidRPr="0048113A">
              <w:rPr>
                <w:bCs/>
                <w:color w:val="auto"/>
              </w:rPr>
              <w:t>£145,568</w:t>
            </w:r>
          </w:p>
        </w:tc>
      </w:tr>
      <w:tr w:rsidR="00F337E6" w:rsidRPr="00380251" w14:paraId="6E801720"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13C3" w14:textId="77777777" w:rsidR="00F337E6" w:rsidRPr="00E27862" w:rsidRDefault="00F337E6" w:rsidP="008F61F5">
            <w:pPr>
              <w:pStyle w:val="TableRowCentered"/>
              <w:jc w:val="left"/>
              <w:rPr>
                <w:color w:val="auto"/>
                <w:sz w:val="22"/>
              </w:rPr>
            </w:pPr>
            <w:r>
              <w:rPr>
                <w:iCs/>
                <w:color w:val="auto"/>
                <w:szCs w:val="28"/>
                <w:lang w:val="en-US"/>
              </w:rPr>
              <w:t xml:space="preserve">Designated administrator to manage and monitor attendance, working with designated senior leader and senior learning mentor to deliver Early Help </w:t>
            </w:r>
          </w:p>
        </w:tc>
      </w:tr>
      <w:tr w:rsidR="00F337E6" w:rsidRPr="00380251" w14:paraId="37F1F9C4"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4304070F" w14:textId="77777777" w:rsidR="00F337E6" w:rsidRDefault="00F337E6" w:rsidP="008F61F5">
            <w:pPr>
              <w:pStyle w:val="TableRowCentered"/>
              <w:jc w:val="left"/>
              <w:rPr>
                <w:color w:val="auto"/>
                <w:sz w:val="22"/>
                <w:szCs w:val="22"/>
              </w:rPr>
            </w:pPr>
            <w:r w:rsidRPr="60273EDF">
              <w:rPr>
                <w:color w:val="auto"/>
                <w:sz w:val="22"/>
                <w:szCs w:val="22"/>
              </w:rPr>
              <w:t xml:space="preserve">Evidence of Impact: </w:t>
            </w:r>
          </w:p>
          <w:p w14:paraId="0C8F9B9A" w14:textId="77777777" w:rsidR="00F337E6" w:rsidRDefault="00F337E6" w:rsidP="008F61F5">
            <w:pPr>
              <w:pStyle w:val="TableRowCentered"/>
              <w:jc w:val="left"/>
              <w:rPr>
                <w:color w:val="auto"/>
                <w:sz w:val="22"/>
                <w:szCs w:val="22"/>
              </w:rPr>
            </w:pPr>
            <w:r w:rsidRPr="60273EDF">
              <w:rPr>
                <w:color w:val="auto"/>
                <w:sz w:val="22"/>
                <w:szCs w:val="22"/>
              </w:rPr>
              <w:t xml:space="preserve">Attendance 2021 – 2022:                 Disadvantaged Pupils: 94.3% </w:t>
            </w:r>
          </w:p>
          <w:p w14:paraId="7C510B8E" w14:textId="77777777" w:rsidR="00F337E6" w:rsidRDefault="00F337E6" w:rsidP="008F61F5">
            <w:pPr>
              <w:pStyle w:val="TableRowCentered"/>
              <w:jc w:val="left"/>
              <w:rPr>
                <w:color w:val="auto"/>
                <w:sz w:val="22"/>
                <w:szCs w:val="22"/>
              </w:rPr>
            </w:pPr>
            <w:r w:rsidRPr="60273EDF">
              <w:rPr>
                <w:color w:val="auto"/>
                <w:sz w:val="22"/>
                <w:szCs w:val="22"/>
              </w:rPr>
              <w:t xml:space="preserve">                                                         Whole school: 95%</w:t>
            </w:r>
          </w:p>
          <w:p w14:paraId="4C3531A8" w14:textId="77777777" w:rsidR="00F337E6" w:rsidRDefault="00F337E6" w:rsidP="008F61F5">
            <w:pPr>
              <w:pStyle w:val="TableRowCentered"/>
              <w:jc w:val="left"/>
              <w:rPr>
                <w:color w:val="auto"/>
                <w:sz w:val="22"/>
                <w:szCs w:val="22"/>
              </w:rPr>
            </w:pPr>
            <w:r w:rsidRPr="60273EDF">
              <w:rPr>
                <w:color w:val="auto"/>
                <w:sz w:val="22"/>
                <w:szCs w:val="22"/>
              </w:rPr>
              <w:t xml:space="preserve">Persistent Absence 2021 – 2022:    Disadvantaged Pupils: 1.38% </w:t>
            </w:r>
          </w:p>
          <w:p w14:paraId="2FBEE99A" w14:textId="77777777" w:rsidR="00F337E6" w:rsidRDefault="00F337E6" w:rsidP="008F61F5">
            <w:pPr>
              <w:pStyle w:val="TableRowCentered"/>
              <w:jc w:val="left"/>
              <w:rPr>
                <w:color w:val="auto"/>
                <w:sz w:val="22"/>
                <w:szCs w:val="22"/>
              </w:rPr>
            </w:pPr>
            <w:r w:rsidRPr="60273EDF">
              <w:rPr>
                <w:color w:val="auto"/>
                <w:sz w:val="22"/>
                <w:szCs w:val="22"/>
              </w:rPr>
              <w:t xml:space="preserve">                                                         Whole school: 4.70%</w:t>
            </w:r>
          </w:p>
          <w:p w14:paraId="4A147E2E" w14:textId="77777777" w:rsidR="00F337E6" w:rsidRDefault="00F337E6" w:rsidP="008F61F5">
            <w:pPr>
              <w:pStyle w:val="TableRowCentered"/>
              <w:ind w:left="0"/>
              <w:jc w:val="left"/>
              <w:rPr>
                <w:color w:val="0D0D0D" w:themeColor="text1" w:themeTint="F2"/>
                <w:szCs w:val="24"/>
              </w:rPr>
            </w:pPr>
          </w:p>
          <w:p w14:paraId="0F397E42" w14:textId="77777777" w:rsidR="00F337E6" w:rsidRDefault="00F337E6" w:rsidP="008F61F5">
            <w:pPr>
              <w:pStyle w:val="TableRowCentered"/>
              <w:jc w:val="left"/>
              <w:rPr>
                <w:color w:val="auto"/>
                <w:sz w:val="22"/>
                <w:szCs w:val="22"/>
              </w:rPr>
            </w:pPr>
            <w:r w:rsidRPr="60273EDF">
              <w:rPr>
                <w:color w:val="auto"/>
                <w:sz w:val="22"/>
                <w:szCs w:val="22"/>
              </w:rPr>
              <w:t>The work of the attendance administrator has been key to ensuring the attendance of disadvantaged pupils remains high and in line with all pupils. The percentage of disadvantaged pupils persistently absent is less than half of that of all pupils (1.38% / 4.70%). Pupils’ attendance is monitored and tracked thoroughly, and the attendance figures of pupils causing concern is reported to SLT weekly. The attendance officer attends our fortnightly safeguarding meetings with the DSLs and Head teacher. Home visits are conducted with the Pastoral manager for any pupil whose absence is a cause for concern. Parents are invited into school to discuss how school can best support the attendance of their child, often through Early Help.</w:t>
            </w:r>
          </w:p>
          <w:p w14:paraId="2BAD71C2" w14:textId="77777777" w:rsidR="00F337E6" w:rsidRDefault="00F337E6" w:rsidP="008F61F5">
            <w:pPr>
              <w:pStyle w:val="TableRowCentered"/>
              <w:jc w:val="left"/>
              <w:rPr>
                <w:color w:val="0D0D0D" w:themeColor="text1" w:themeTint="F2"/>
                <w:szCs w:val="24"/>
              </w:rPr>
            </w:pPr>
          </w:p>
        </w:tc>
      </w:tr>
      <w:tr w:rsidR="00F337E6" w14:paraId="13EAD26F"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7A952" w14:textId="77777777" w:rsidR="00F337E6" w:rsidRDefault="00F337E6" w:rsidP="008F61F5">
            <w:pPr>
              <w:suppressAutoHyphens w:val="0"/>
              <w:autoSpaceDN/>
              <w:spacing w:before="60" w:after="60" w:line="240" w:lineRule="auto"/>
              <w:ind w:left="29" w:right="57"/>
              <w:rPr>
                <w:iCs/>
                <w:color w:val="auto"/>
                <w:szCs w:val="28"/>
                <w:lang w:val="en-US"/>
              </w:rPr>
            </w:pPr>
            <w:r>
              <w:rPr>
                <w:iCs/>
                <w:color w:val="auto"/>
                <w:szCs w:val="28"/>
                <w:lang w:val="en-US"/>
              </w:rPr>
              <w:t xml:space="preserve">Pastoral Team to support social and emotional wellbeing of pupils and families, strengthening resilience and readiness to learn. </w:t>
            </w:r>
          </w:p>
          <w:p w14:paraId="15F795D1" w14:textId="77777777" w:rsidR="00F337E6" w:rsidRDefault="00F337E6" w:rsidP="008F61F5">
            <w:pPr>
              <w:suppressAutoHyphens w:val="0"/>
              <w:autoSpaceDN/>
              <w:spacing w:before="60" w:after="60" w:line="240" w:lineRule="auto"/>
              <w:ind w:left="29" w:right="57"/>
              <w:rPr>
                <w:iCs/>
                <w:color w:val="auto"/>
                <w:szCs w:val="28"/>
                <w:lang w:val="en-US"/>
              </w:rPr>
            </w:pPr>
          </w:p>
          <w:p w14:paraId="563B4366" w14:textId="77777777" w:rsidR="00F337E6" w:rsidRDefault="00F337E6" w:rsidP="008F61F5">
            <w:pPr>
              <w:suppressAutoHyphens w:val="0"/>
              <w:autoSpaceDN/>
              <w:spacing w:before="60" w:after="60" w:line="240" w:lineRule="auto"/>
              <w:ind w:left="29" w:right="57"/>
              <w:rPr>
                <w:iCs/>
                <w:color w:val="auto"/>
                <w:szCs w:val="28"/>
                <w:lang w:val="en-US"/>
              </w:rPr>
            </w:pPr>
            <w:r>
              <w:rPr>
                <w:iCs/>
                <w:color w:val="auto"/>
                <w:szCs w:val="28"/>
                <w:lang w:val="en-US"/>
              </w:rPr>
              <w:t>Senior learning mentor HLTA</w:t>
            </w:r>
          </w:p>
          <w:p w14:paraId="6DABFC79" w14:textId="24E2B3A4" w:rsidR="00F337E6" w:rsidRPr="00F337E6" w:rsidRDefault="00F337E6" w:rsidP="00F337E6">
            <w:pPr>
              <w:pStyle w:val="TableRowCentered"/>
              <w:jc w:val="left"/>
              <w:rPr>
                <w:color w:val="auto"/>
                <w:sz w:val="22"/>
                <w:szCs w:val="22"/>
              </w:rPr>
            </w:pPr>
            <w:r>
              <w:rPr>
                <w:iCs/>
                <w:color w:val="auto"/>
                <w:szCs w:val="28"/>
                <w:lang w:val="en-US"/>
              </w:rPr>
              <w:t>2 x Learning mentors Grade 2</w:t>
            </w:r>
          </w:p>
        </w:tc>
      </w:tr>
      <w:tr w:rsidR="00F337E6" w14:paraId="53CBF79F" w14:textId="77777777" w:rsidTr="008F61F5">
        <w:trPr>
          <w:trHeight w:val="11085"/>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46956761" w14:textId="1AA1626C" w:rsidR="00F337E6" w:rsidRDefault="00F337E6" w:rsidP="008F61F5">
            <w:pPr>
              <w:spacing w:line="257" w:lineRule="auto"/>
              <w:rPr>
                <w:rFonts w:eastAsia="Arial" w:cs="Arial"/>
                <w:b/>
                <w:bCs/>
                <w:sz w:val="22"/>
                <w:szCs w:val="22"/>
              </w:rPr>
            </w:pPr>
            <w:r>
              <w:rPr>
                <w:rFonts w:eastAsia="Arial" w:cs="Arial"/>
                <w:b/>
                <w:bCs/>
                <w:sz w:val="22"/>
                <w:szCs w:val="22"/>
              </w:rPr>
              <w:lastRenderedPageBreak/>
              <w:t>Evidence of impact:</w:t>
            </w:r>
          </w:p>
          <w:p w14:paraId="3297B215" w14:textId="25F1C168" w:rsidR="00F337E6" w:rsidRDefault="00F337E6" w:rsidP="008F61F5">
            <w:pPr>
              <w:spacing w:line="257" w:lineRule="auto"/>
              <w:rPr>
                <w:rFonts w:eastAsia="Arial" w:cs="Arial"/>
                <w:b/>
                <w:bCs/>
                <w:sz w:val="22"/>
                <w:szCs w:val="22"/>
              </w:rPr>
            </w:pPr>
            <w:r w:rsidRPr="60273EDF">
              <w:rPr>
                <w:rFonts w:eastAsia="Arial" w:cs="Arial"/>
                <w:b/>
                <w:bCs/>
                <w:sz w:val="22"/>
                <w:szCs w:val="22"/>
              </w:rPr>
              <w:t>Pastoral</w:t>
            </w:r>
          </w:p>
          <w:p w14:paraId="0097AD98" w14:textId="77777777" w:rsidR="00F337E6" w:rsidRDefault="00F337E6" w:rsidP="008F61F5">
            <w:pPr>
              <w:spacing w:line="257" w:lineRule="auto"/>
              <w:rPr>
                <w:rFonts w:eastAsia="Arial" w:cs="Arial"/>
                <w:sz w:val="22"/>
                <w:szCs w:val="22"/>
              </w:rPr>
            </w:pPr>
            <w:r w:rsidRPr="60273EDF">
              <w:rPr>
                <w:rFonts w:eastAsia="Arial" w:cs="Arial"/>
                <w:sz w:val="22"/>
                <w:szCs w:val="22"/>
              </w:rPr>
              <w:t>105 pupils received mentoring during the academic year. 45 of these were high-profile with significant or complex emotional and social needs who needed daily or twice weekly mentoring.</w:t>
            </w:r>
          </w:p>
          <w:tbl>
            <w:tblPr>
              <w:tblStyle w:val="TableGrid"/>
              <w:tblW w:w="0" w:type="auto"/>
              <w:tblLayout w:type="fixed"/>
              <w:tblLook w:val="04A0" w:firstRow="1" w:lastRow="0" w:firstColumn="1" w:lastColumn="0" w:noHBand="0" w:noVBand="1"/>
            </w:tblPr>
            <w:tblGrid>
              <w:gridCol w:w="1980"/>
              <w:gridCol w:w="1635"/>
              <w:gridCol w:w="810"/>
              <w:gridCol w:w="1305"/>
            </w:tblGrid>
            <w:tr w:rsidR="00F337E6" w14:paraId="67D5A239" w14:textId="77777777" w:rsidTr="008F61F5">
              <w:tc>
                <w:tcPr>
                  <w:tcW w:w="1980" w:type="dxa"/>
                  <w:tcBorders>
                    <w:top w:val="single" w:sz="8" w:space="0" w:color="auto"/>
                    <w:left w:val="single" w:sz="8" w:space="0" w:color="auto"/>
                    <w:bottom w:val="single" w:sz="8" w:space="0" w:color="auto"/>
                    <w:right w:val="single" w:sz="8" w:space="0" w:color="auto"/>
                  </w:tcBorders>
                </w:tcPr>
                <w:p w14:paraId="55EB4B27" w14:textId="77777777" w:rsidR="00F337E6" w:rsidRDefault="00F337E6" w:rsidP="008F61F5">
                  <w:pPr>
                    <w:rPr>
                      <w:rFonts w:eastAsia="Arial" w:cs="Arial"/>
                      <w:sz w:val="22"/>
                      <w:szCs w:val="22"/>
                    </w:rPr>
                  </w:pPr>
                  <w:r w:rsidRPr="60273EDF">
                    <w:rPr>
                      <w:rFonts w:eastAsia="Arial" w:cs="Arial"/>
                      <w:sz w:val="22"/>
                      <w:szCs w:val="22"/>
                    </w:rPr>
                    <w:t xml:space="preserve"> </w:t>
                  </w:r>
                </w:p>
              </w:tc>
              <w:tc>
                <w:tcPr>
                  <w:tcW w:w="1635" w:type="dxa"/>
                  <w:tcBorders>
                    <w:top w:val="single" w:sz="8" w:space="0" w:color="auto"/>
                    <w:left w:val="single" w:sz="8" w:space="0" w:color="auto"/>
                    <w:bottom w:val="single" w:sz="8" w:space="0" w:color="auto"/>
                    <w:right w:val="single" w:sz="8" w:space="0" w:color="auto"/>
                  </w:tcBorders>
                </w:tcPr>
                <w:p w14:paraId="3EAEF415" w14:textId="77777777" w:rsidR="00F337E6" w:rsidRDefault="00F337E6" w:rsidP="008F61F5">
                  <w:pPr>
                    <w:rPr>
                      <w:rFonts w:eastAsia="Arial" w:cs="Arial"/>
                      <w:sz w:val="22"/>
                      <w:szCs w:val="22"/>
                    </w:rPr>
                  </w:pPr>
                  <w:r w:rsidRPr="60273EDF">
                    <w:rPr>
                      <w:rFonts w:eastAsia="Arial" w:cs="Arial"/>
                      <w:sz w:val="22"/>
                      <w:szCs w:val="22"/>
                    </w:rPr>
                    <w:t>Pupil Premium</w:t>
                  </w:r>
                </w:p>
              </w:tc>
              <w:tc>
                <w:tcPr>
                  <w:tcW w:w="810" w:type="dxa"/>
                  <w:tcBorders>
                    <w:top w:val="single" w:sz="8" w:space="0" w:color="auto"/>
                    <w:left w:val="single" w:sz="8" w:space="0" w:color="auto"/>
                    <w:bottom w:val="single" w:sz="8" w:space="0" w:color="auto"/>
                    <w:right w:val="single" w:sz="8" w:space="0" w:color="auto"/>
                  </w:tcBorders>
                </w:tcPr>
                <w:p w14:paraId="58D6918F" w14:textId="77777777" w:rsidR="00F337E6" w:rsidRDefault="00F337E6" w:rsidP="008F61F5">
                  <w:pPr>
                    <w:rPr>
                      <w:rFonts w:eastAsia="Arial" w:cs="Arial"/>
                      <w:sz w:val="22"/>
                      <w:szCs w:val="22"/>
                    </w:rPr>
                  </w:pPr>
                  <w:r w:rsidRPr="60273EDF">
                    <w:rPr>
                      <w:rFonts w:eastAsia="Arial" w:cs="Arial"/>
                      <w:sz w:val="22"/>
                      <w:szCs w:val="22"/>
                    </w:rPr>
                    <w:t>SEND</w:t>
                  </w:r>
                </w:p>
              </w:tc>
              <w:tc>
                <w:tcPr>
                  <w:tcW w:w="1305" w:type="dxa"/>
                  <w:tcBorders>
                    <w:top w:val="single" w:sz="8" w:space="0" w:color="auto"/>
                    <w:left w:val="single" w:sz="8" w:space="0" w:color="auto"/>
                    <w:bottom w:val="single" w:sz="8" w:space="0" w:color="auto"/>
                    <w:right w:val="single" w:sz="8" w:space="0" w:color="auto"/>
                  </w:tcBorders>
                </w:tcPr>
                <w:p w14:paraId="3A9B032D" w14:textId="77777777" w:rsidR="00F337E6" w:rsidRDefault="00F337E6" w:rsidP="008F61F5">
                  <w:pPr>
                    <w:rPr>
                      <w:rFonts w:eastAsia="Arial" w:cs="Arial"/>
                      <w:sz w:val="22"/>
                      <w:szCs w:val="22"/>
                    </w:rPr>
                  </w:pPr>
                  <w:r w:rsidRPr="60273EDF">
                    <w:rPr>
                      <w:rFonts w:eastAsia="Arial" w:cs="Arial"/>
                      <w:sz w:val="22"/>
                      <w:szCs w:val="22"/>
                    </w:rPr>
                    <w:t>Vulnerable</w:t>
                  </w:r>
                </w:p>
              </w:tc>
            </w:tr>
            <w:tr w:rsidR="00F337E6" w14:paraId="405B2DA1" w14:textId="77777777" w:rsidTr="008F61F5">
              <w:tc>
                <w:tcPr>
                  <w:tcW w:w="1980" w:type="dxa"/>
                  <w:tcBorders>
                    <w:top w:val="single" w:sz="8" w:space="0" w:color="auto"/>
                    <w:left w:val="single" w:sz="8" w:space="0" w:color="auto"/>
                    <w:bottom w:val="single" w:sz="8" w:space="0" w:color="auto"/>
                    <w:right w:val="single" w:sz="8" w:space="0" w:color="auto"/>
                  </w:tcBorders>
                </w:tcPr>
                <w:p w14:paraId="09BD4C7D" w14:textId="77777777" w:rsidR="00F337E6" w:rsidRDefault="00F337E6" w:rsidP="008F61F5">
                  <w:pPr>
                    <w:rPr>
                      <w:rFonts w:eastAsia="Arial" w:cs="Arial"/>
                      <w:sz w:val="22"/>
                      <w:szCs w:val="22"/>
                    </w:rPr>
                  </w:pPr>
                  <w:r w:rsidRPr="60273EDF">
                    <w:rPr>
                      <w:rFonts w:eastAsia="Arial" w:cs="Arial"/>
                      <w:sz w:val="22"/>
                      <w:szCs w:val="22"/>
                    </w:rPr>
                    <w:t>Number of pupils</w:t>
                  </w:r>
                </w:p>
              </w:tc>
              <w:tc>
                <w:tcPr>
                  <w:tcW w:w="1635" w:type="dxa"/>
                  <w:tcBorders>
                    <w:top w:val="single" w:sz="8" w:space="0" w:color="auto"/>
                    <w:left w:val="single" w:sz="8" w:space="0" w:color="auto"/>
                    <w:bottom w:val="single" w:sz="8" w:space="0" w:color="auto"/>
                    <w:right w:val="single" w:sz="8" w:space="0" w:color="auto"/>
                  </w:tcBorders>
                </w:tcPr>
                <w:p w14:paraId="3E2BFA7A" w14:textId="77777777" w:rsidR="00F337E6" w:rsidRDefault="00F337E6" w:rsidP="008F61F5">
                  <w:pPr>
                    <w:rPr>
                      <w:rFonts w:eastAsia="Arial" w:cs="Arial"/>
                      <w:sz w:val="22"/>
                      <w:szCs w:val="22"/>
                    </w:rPr>
                  </w:pPr>
                  <w:r w:rsidRPr="60273EDF">
                    <w:rPr>
                      <w:rFonts w:eastAsia="Arial" w:cs="Arial"/>
                      <w:sz w:val="22"/>
                      <w:szCs w:val="22"/>
                    </w:rPr>
                    <w:t>56</w:t>
                  </w:r>
                </w:p>
              </w:tc>
              <w:tc>
                <w:tcPr>
                  <w:tcW w:w="810" w:type="dxa"/>
                  <w:tcBorders>
                    <w:top w:val="single" w:sz="8" w:space="0" w:color="auto"/>
                    <w:left w:val="single" w:sz="8" w:space="0" w:color="auto"/>
                    <w:bottom w:val="single" w:sz="8" w:space="0" w:color="auto"/>
                    <w:right w:val="single" w:sz="8" w:space="0" w:color="auto"/>
                  </w:tcBorders>
                </w:tcPr>
                <w:p w14:paraId="3834F476" w14:textId="77777777" w:rsidR="00F337E6" w:rsidRDefault="00F337E6" w:rsidP="008F61F5">
                  <w:pPr>
                    <w:rPr>
                      <w:rFonts w:eastAsia="Arial" w:cs="Arial"/>
                      <w:sz w:val="22"/>
                      <w:szCs w:val="22"/>
                    </w:rPr>
                  </w:pPr>
                  <w:r w:rsidRPr="60273EDF">
                    <w:rPr>
                      <w:rFonts w:eastAsia="Arial" w:cs="Arial"/>
                      <w:sz w:val="22"/>
                      <w:szCs w:val="22"/>
                    </w:rPr>
                    <w:t>28</w:t>
                  </w:r>
                </w:p>
              </w:tc>
              <w:tc>
                <w:tcPr>
                  <w:tcW w:w="1305" w:type="dxa"/>
                  <w:tcBorders>
                    <w:top w:val="single" w:sz="8" w:space="0" w:color="auto"/>
                    <w:left w:val="single" w:sz="8" w:space="0" w:color="auto"/>
                    <w:bottom w:val="single" w:sz="8" w:space="0" w:color="auto"/>
                    <w:right w:val="single" w:sz="8" w:space="0" w:color="auto"/>
                  </w:tcBorders>
                </w:tcPr>
                <w:p w14:paraId="62931A0C" w14:textId="77777777" w:rsidR="00F337E6" w:rsidRDefault="00F337E6" w:rsidP="008F61F5">
                  <w:pPr>
                    <w:rPr>
                      <w:rFonts w:eastAsia="Arial" w:cs="Arial"/>
                      <w:sz w:val="22"/>
                      <w:szCs w:val="22"/>
                    </w:rPr>
                  </w:pPr>
                  <w:r w:rsidRPr="60273EDF">
                    <w:rPr>
                      <w:rFonts w:eastAsia="Arial" w:cs="Arial"/>
                      <w:sz w:val="22"/>
                      <w:szCs w:val="22"/>
                    </w:rPr>
                    <w:t>38</w:t>
                  </w:r>
                </w:p>
              </w:tc>
            </w:tr>
            <w:tr w:rsidR="00F337E6" w14:paraId="1F5F8F77" w14:textId="77777777" w:rsidTr="008F61F5">
              <w:tc>
                <w:tcPr>
                  <w:tcW w:w="1980" w:type="dxa"/>
                  <w:tcBorders>
                    <w:top w:val="single" w:sz="8" w:space="0" w:color="auto"/>
                    <w:left w:val="single" w:sz="8" w:space="0" w:color="auto"/>
                    <w:bottom w:val="single" w:sz="8" w:space="0" w:color="auto"/>
                    <w:right w:val="single" w:sz="8" w:space="0" w:color="auto"/>
                  </w:tcBorders>
                </w:tcPr>
                <w:p w14:paraId="04F24937" w14:textId="77777777" w:rsidR="00F337E6" w:rsidRDefault="00F337E6" w:rsidP="008F61F5">
                  <w:pPr>
                    <w:rPr>
                      <w:rFonts w:eastAsia="Arial" w:cs="Arial"/>
                      <w:sz w:val="22"/>
                      <w:szCs w:val="22"/>
                    </w:rPr>
                  </w:pPr>
                  <w:r w:rsidRPr="60273EDF">
                    <w:rPr>
                      <w:rFonts w:eastAsia="Arial" w:cs="Arial"/>
                      <w:sz w:val="22"/>
                      <w:szCs w:val="22"/>
                    </w:rPr>
                    <w:t xml:space="preserve">Percentage </w:t>
                  </w:r>
                </w:p>
              </w:tc>
              <w:tc>
                <w:tcPr>
                  <w:tcW w:w="1635" w:type="dxa"/>
                  <w:tcBorders>
                    <w:top w:val="single" w:sz="8" w:space="0" w:color="auto"/>
                    <w:left w:val="single" w:sz="8" w:space="0" w:color="auto"/>
                    <w:bottom w:val="single" w:sz="8" w:space="0" w:color="auto"/>
                    <w:right w:val="single" w:sz="8" w:space="0" w:color="auto"/>
                  </w:tcBorders>
                </w:tcPr>
                <w:p w14:paraId="5DEF80A5" w14:textId="77777777" w:rsidR="00F337E6" w:rsidRDefault="00F337E6" w:rsidP="008F61F5">
                  <w:pPr>
                    <w:rPr>
                      <w:rFonts w:eastAsia="Arial" w:cs="Arial"/>
                      <w:sz w:val="22"/>
                      <w:szCs w:val="22"/>
                    </w:rPr>
                  </w:pPr>
                  <w:r w:rsidRPr="60273EDF">
                    <w:rPr>
                      <w:rFonts w:eastAsia="Arial" w:cs="Arial"/>
                      <w:sz w:val="22"/>
                      <w:szCs w:val="22"/>
                    </w:rPr>
                    <w:t>53%</w:t>
                  </w:r>
                </w:p>
              </w:tc>
              <w:tc>
                <w:tcPr>
                  <w:tcW w:w="810" w:type="dxa"/>
                  <w:tcBorders>
                    <w:top w:val="single" w:sz="8" w:space="0" w:color="auto"/>
                    <w:left w:val="single" w:sz="8" w:space="0" w:color="auto"/>
                    <w:bottom w:val="single" w:sz="8" w:space="0" w:color="auto"/>
                    <w:right w:val="single" w:sz="8" w:space="0" w:color="auto"/>
                  </w:tcBorders>
                </w:tcPr>
                <w:p w14:paraId="48272696" w14:textId="77777777" w:rsidR="00F337E6" w:rsidRDefault="00F337E6" w:rsidP="008F61F5">
                  <w:pPr>
                    <w:rPr>
                      <w:rFonts w:eastAsia="Arial" w:cs="Arial"/>
                      <w:sz w:val="22"/>
                      <w:szCs w:val="22"/>
                    </w:rPr>
                  </w:pPr>
                  <w:r w:rsidRPr="60273EDF">
                    <w:rPr>
                      <w:rFonts w:eastAsia="Arial" w:cs="Arial"/>
                      <w:sz w:val="22"/>
                      <w:szCs w:val="22"/>
                    </w:rPr>
                    <w:t>26%</w:t>
                  </w:r>
                </w:p>
              </w:tc>
              <w:tc>
                <w:tcPr>
                  <w:tcW w:w="1305" w:type="dxa"/>
                  <w:tcBorders>
                    <w:top w:val="single" w:sz="8" w:space="0" w:color="auto"/>
                    <w:left w:val="single" w:sz="8" w:space="0" w:color="auto"/>
                    <w:bottom w:val="single" w:sz="8" w:space="0" w:color="auto"/>
                    <w:right w:val="single" w:sz="8" w:space="0" w:color="auto"/>
                  </w:tcBorders>
                </w:tcPr>
                <w:p w14:paraId="210030DF" w14:textId="77777777" w:rsidR="00F337E6" w:rsidRDefault="00F337E6" w:rsidP="008F61F5">
                  <w:pPr>
                    <w:rPr>
                      <w:rFonts w:eastAsia="Arial" w:cs="Arial"/>
                      <w:sz w:val="22"/>
                      <w:szCs w:val="22"/>
                    </w:rPr>
                  </w:pPr>
                  <w:r w:rsidRPr="60273EDF">
                    <w:rPr>
                      <w:rFonts w:eastAsia="Arial" w:cs="Arial"/>
                      <w:sz w:val="22"/>
                      <w:szCs w:val="22"/>
                    </w:rPr>
                    <w:t>36%</w:t>
                  </w:r>
                </w:p>
              </w:tc>
            </w:tr>
          </w:tbl>
          <w:p w14:paraId="300F8167" w14:textId="77777777" w:rsidR="00F337E6" w:rsidRDefault="00F337E6" w:rsidP="008F61F5">
            <w:pPr>
              <w:spacing w:line="257" w:lineRule="auto"/>
              <w:rPr>
                <w:rFonts w:eastAsia="Arial" w:cs="Arial"/>
                <w:sz w:val="22"/>
                <w:szCs w:val="22"/>
              </w:rPr>
            </w:pPr>
            <w:r w:rsidRPr="60273EDF">
              <w:rPr>
                <w:rFonts w:eastAsia="Arial" w:cs="Arial"/>
                <w:sz w:val="22"/>
                <w:szCs w:val="22"/>
              </w:rPr>
              <w:t xml:space="preserve"> </w:t>
            </w:r>
          </w:p>
          <w:p w14:paraId="5DE41698" w14:textId="77777777" w:rsidR="00F337E6" w:rsidRDefault="00F337E6" w:rsidP="008F61F5">
            <w:pPr>
              <w:spacing w:line="257" w:lineRule="auto"/>
              <w:rPr>
                <w:rFonts w:eastAsia="Arial" w:cs="Arial"/>
                <w:sz w:val="22"/>
                <w:szCs w:val="22"/>
              </w:rPr>
            </w:pPr>
            <w:r w:rsidRPr="60273EDF">
              <w:rPr>
                <w:rFonts w:eastAsia="Arial" w:cs="Arial"/>
                <w:sz w:val="22"/>
                <w:szCs w:val="22"/>
              </w:rPr>
              <w:t>Boxall Profile measures development and diagnostic data and converts it into numerical data. The data shows an impact average of 25.09 points for the development strand and 37.07 points for the diagnostic strand.</w:t>
            </w:r>
          </w:p>
          <w:p w14:paraId="1243BEAE" w14:textId="77777777" w:rsidR="00F337E6" w:rsidRDefault="00F337E6" w:rsidP="00F337E6">
            <w:pPr>
              <w:pStyle w:val="ListParagraph"/>
              <w:numPr>
                <w:ilvl w:val="0"/>
                <w:numId w:val="39"/>
              </w:numPr>
              <w:rPr>
                <w:rFonts w:eastAsia="Arial" w:cs="Arial"/>
                <w:color w:val="0D0D0D" w:themeColor="text1" w:themeTint="F2"/>
              </w:rPr>
            </w:pPr>
            <w:r w:rsidRPr="60273EDF">
              <w:rPr>
                <w:rFonts w:eastAsia="Arial" w:cs="Arial"/>
              </w:rPr>
              <w:t>Daily check-in 21 Year 3 children, 13 Year 4 children, 17 Year 5 children and 22 Year 6 children.</w:t>
            </w:r>
          </w:p>
          <w:p w14:paraId="4BF6DD8C" w14:textId="77777777" w:rsidR="00F337E6" w:rsidRDefault="00F337E6" w:rsidP="00F337E6">
            <w:pPr>
              <w:pStyle w:val="ListParagraph"/>
              <w:numPr>
                <w:ilvl w:val="0"/>
                <w:numId w:val="39"/>
              </w:numPr>
              <w:rPr>
                <w:rFonts w:eastAsia="Arial" w:cs="Arial"/>
                <w:color w:val="0D0D0D" w:themeColor="text1" w:themeTint="F2"/>
              </w:rPr>
            </w:pPr>
            <w:r w:rsidRPr="60273EDF">
              <w:rPr>
                <w:rFonts w:eastAsia="Arial" w:cs="Arial"/>
              </w:rPr>
              <w:t xml:space="preserve">6 pupils were identified as Young Carers. Referrals were made to </w:t>
            </w:r>
            <w:proofErr w:type="spellStart"/>
            <w:r w:rsidRPr="60273EDF">
              <w:rPr>
                <w:rFonts w:eastAsia="Arial" w:cs="Arial"/>
              </w:rPr>
              <w:t>Spurgeons</w:t>
            </w:r>
            <w:proofErr w:type="spellEnd"/>
            <w:r w:rsidRPr="60273EDF">
              <w:rPr>
                <w:rFonts w:eastAsia="Arial" w:cs="Arial"/>
              </w:rPr>
              <w:t xml:space="preserve"> and support was put in place in school.</w:t>
            </w:r>
          </w:p>
          <w:p w14:paraId="589E1083" w14:textId="77777777" w:rsidR="00F337E6" w:rsidRDefault="00F337E6" w:rsidP="00F337E6">
            <w:pPr>
              <w:pStyle w:val="ListParagraph"/>
              <w:numPr>
                <w:ilvl w:val="0"/>
                <w:numId w:val="39"/>
              </w:numPr>
              <w:rPr>
                <w:rFonts w:eastAsia="Arial" w:cs="Arial"/>
                <w:color w:val="0D0D0D" w:themeColor="text1" w:themeTint="F2"/>
              </w:rPr>
            </w:pPr>
            <w:r w:rsidRPr="60273EDF">
              <w:rPr>
                <w:rFonts w:eastAsia="Arial" w:cs="Arial"/>
              </w:rPr>
              <w:t>19 pupils were supported and monitored following Operation Encompass alerts.</w:t>
            </w:r>
          </w:p>
          <w:p w14:paraId="42EC4476" w14:textId="77777777" w:rsidR="00F337E6" w:rsidRDefault="00F337E6" w:rsidP="00F337E6">
            <w:pPr>
              <w:pStyle w:val="ListParagraph"/>
              <w:numPr>
                <w:ilvl w:val="0"/>
                <w:numId w:val="39"/>
              </w:numPr>
              <w:rPr>
                <w:rFonts w:eastAsia="Arial" w:cs="Arial"/>
                <w:color w:val="0D0D0D" w:themeColor="text1" w:themeTint="F2"/>
              </w:rPr>
            </w:pPr>
            <w:r w:rsidRPr="60273EDF">
              <w:rPr>
                <w:rFonts w:eastAsia="Arial" w:cs="Arial"/>
              </w:rPr>
              <w:t>26 pupils received E-safety support following online monitoring alerts.</w:t>
            </w:r>
          </w:p>
          <w:p w14:paraId="7D0B38A8" w14:textId="77777777" w:rsidR="00F337E6" w:rsidRDefault="00F337E6" w:rsidP="00F337E6">
            <w:pPr>
              <w:pStyle w:val="ListParagraph"/>
              <w:numPr>
                <w:ilvl w:val="0"/>
                <w:numId w:val="39"/>
              </w:numPr>
              <w:rPr>
                <w:rFonts w:eastAsia="Arial" w:cs="Arial"/>
                <w:color w:val="0D0D0D" w:themeColor="text1" w:themeTint="F2"/>
              </w:rPr>
            </w:pPr>
            <w:r w:rsidRPr="60273EDF">
              <w:rPr>
                <w:rFonts w:eastAsia="Arial" w:cs="Arial"/>
                <w:color w:val="0D0D0D" w:themeColor="text1" w:themeTint="F2"/>
              </w:rPr>
              <w:t>4 pupils received intense support as they were at risk of exclusion. Individual strategies were introduced to enable them to access the curriculum and remain in school. 2 of these pupils were Pupil Premium, all of them were on the vulnerable list and they all struggled with regulating their own emotions and required intense support and modelling of strategies.</w:t>
            </w:r>
          </w:p>
          <w:p w14:paraId="32898469" w14:textId="77777777" w:rsidR="00F337E6" w:rsidRDefault="00F337E6" w:rsidP="008F61F5">
            <w:pPr>
              <w:spacing w:line="257" w:lineRule="auto"/>
              <w:rPr>
                <w:rFonts w:eastAsia="Arial" w:cs="Arial"/>
                <w:b/>
                <w:bCs/>
                <w:sz w:val="22"/>
                <w:szCs w:val="22"/>
              </w:rPr>
            </w:pPr>
            <w:r w:rsidRPr="60273EDF">
              <w:rPr>
                <w:rFonts w:eastAsia="Arial" w:cs="Arial"/>
                <w:b/>
                <w:bCs/>
                <w:sz w:val="22"/>
                <w:szCs w:val="22"/>
              </w:rPr>
              <w:t>Safeguarding</w:t>
            </w:r>
          </w:p>
          <w:p w14:paraId="60A981E4" w14:textId="77777777" w:rsidR="00F337E6" w:rsidRDefault="00F337E6" w:rsidP="008F61F5">
            <w:pPr>
              <w:spacing w:line="257" w:lineRule="auto"/>
              <w:rPr>
                <w:rFonts w:eastAsia="Arial" w:cs="Arial"/>
                <w:sz w:val="22"/>
                <w:szCs w:val="22"/>
              </w:rPr>
            </w:pPr>
            <w:r w:rsidRPr="60273EDF">
              <w:rPr>
                <w:rFonts w:eastAsia="Arial" w:cs="Arial"/>
                <w:sz w:val="22"/>
                <w:szCs w:val="22"/>
              </w:rPr>
              <w:t>39 families received Early Help and 48 families received Family Support.</w:t>
            </w:r>
          </w:p>
          <w:p w14:paraId="61E8E82F" w14:textId="77777777" w:rsidR="00F337E6" w:rsidRDefault="00F337E6" w:rsidP="008F61F5">
            <w:pPr>
              <w:spacing w:line="257" w:lineRule="auto"/>
              <w:rPr>
                <w:rFonts w:eastAsia="Arial" w:cs="Arial"/>
                <w:sz w:val="22"/>
                <w:szCs w:val="22"/>
              </w:rPr>
            </w:pPr>
            <w:r w:rsidRPr="60273EDF">
              <w:rPr>
                <w:rFonts w:eastAsia="Arial" w:cs="Arial"/>
                <w:sz w:val="22"/>
                <w:szCs w:val="22"/>
              </w:rPr>
              <w:t>90 pupils were on the vulnerable list. Senior Learning Mentor attended professional meetings and offered support to these pupils and their families.</w:t>
            </w:r>
          </w:p>
          <w:p w14:paraId="3F20438B" w14:textId="77777777" w:rsidR="00F337E6" w:rsidRPr="76C61390" w:rsidRDefault="00F337E6" w:rsidP="008F61F5">
            <w:pPr>
              <w:pStyle w:val="TableRowCentered"/>
              <w:jc w:val="left"/>
              <w:rPr>
                <w:color w:val="auto"/>
                <w:sz w:val="22"/>
                <w:szCs w:val="22"/>
              </w:rPr>
            </w:pPr>
          </w:p>
        </w:tc>
      </w:tr>
      <w:tr w:rsidR="00F337E6" w14:paraId="70EE1160"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77D94" w14:textId="77777777" w:rsidR="00F337E6" w:rsidRDefault="00F337E6" w:rsidP="008F61F5">
            <w:pPr>
              <w:tabs>
                <w:tab w:val="left" w:pos="3135"/>
              </w:tabs>
              <w:suppressAutoHyphens w:val="0"/>
              <w:autoSpaceDN/>
              <w:spacing w:before="60" w:after="60" w:line="240" w:lineRule="auto"/>
              <w:ind w:right="57"/>
              <w:rPr>
                <w:iCs/>
                <w:color w:val="auto"/>
                <w:szCs w:val="28"/>
                <w:lang w:val="en-US"/>
              </w:rPr>
            </w:pPr>
            <w:r>
              <w:rPr>
                <w:iCs/>
                <w:color w:val="auto"/>
                <w:szCs w:val="28"/>
                <w:lang w:val="en-US"/>
              </w:rPr>
              <w:t>Enrichment:</w:t>
            </w:r>
          </w:p>
          <w:p w14:paraId="15C98969" w14:textId="77777777" w:rsidR="00F337E6" w:rsidRPr="00146613" w:rsidRDefault="00F337E6" w:rsidP="00F337E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sidRPr="00146613">
              <w:rPr>
                <w:iCs/>
                <w:color w:val="auto"/>
                <w:szCs w:val="28"/>
                <w:lang w:val="en-US"/>
              </w:rPr>
              <w:t>Drama / dance workshops</w:t>
            </w:r>
          </w:p>
          <w:p w14:paraId="6FA9312C" w14:textId="77777777" w:rsidR="00F337E6" w:rsidRDefault="00F337E6" w:rsidP="00F337E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sidRPr="00146613">
              <w:rPr>
                <w:iCs/>
                <w:color w:val="auto"/>
                <w:szCs w:val="28"/>
                <w:lang w:val="en-US"/>
              </w:rPr>
              <w:t>wider opportunity music (year 4)</w:t>
            </w:r>
          </w:p>
          <w:p w14:paraId="48D04F62" w14:textId="77777777" w:rsidR="00F337E6" w:rsidRDefault="00F337E6" w:rsidP="00F337E6">
            <w:pPr>
              <w:pStyle w:val="ListParagraph"/>
              <w:numPr>
                <w:ilvl w:val="0"/>
                <w:numId w:val="36"/>
              </w:numPr>
              <w:tabs>
                <w:tab w:val="left" w:pos="3135"/>
              </w:tabs>
              <w:suppressAutoHyphens w:val="0"/>
              <w:autoSpaceDN/>
              <w:spacing w:before="60" w:after="60" w:line="240" w:lineRule="auto"/>
              <w:ind w:right="57"/>
              <w:rPr>
                <w:iCs/>
                <w:color w:val="auto"/>
                <w:szCs w:val="28"/>
                <w:lang w:val="en-US"/>
              </w:rPr>
            </w:pPr>
            <w:r>
              <w:rPr>
                <w:iCs/>
                <w:color w:val="auto"/>
                <w:szCs w:val="28"/>
                <w:lang w:val="en-US"/>
              </w:rPr>
              <w:t>Theatre workshops (Birmingham Hippodrome)</w:t>
            </w:r>
          </w:p>
          <w:p w14:paraId="7A8239BD" w14:textId="77777777" w:rsidR="00F337E6" w:rsidRPr="00E27862" w:rsidRDefault="00F337E6" w:rsidP="008F61F5">
            <w:pPr>
              <w:pStyle w:val="TableRowCentered"/>
              <w:jc w:val="left"/>
              <w:rPr>
                <w:color w:val="auto"/>
                <w:sz w:val="22"/>
                <w:szCs w:val="22"/>
              </w:rPr>
            </w:pPr>
            <w:r>
              <w:rPr>
                <w:iCs/>
                <w:color w:val="auto"/>
                <w:szCs w:val="28"/>
                <w:lang w:val="en-US"/>
              </w:rPr>
              <w:t xml:space="preserve">Educational visits </w:t>
            </w:r>
            <w:proofErr w:type="spellStart"/>
            <w:r>
              <w:rPr>
                <w:iCs/>
                <w:color w:val="auto"/>
                <w:szCs w:val="28"/>
                <w:lang w:val="en-US"/>
              </w:rPr>
              <w:t>subsidised</w:t>
            </w:r>
            <w:proofErr w:type="spellEnd"/>
          </w:p>
        </w:tc>
      </w:tr>
      <w:tr w:rsidR="00F337E6" w14:paraId="789F6726"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781D8AAE" w14:textId="77777777" w:rsidR="00F337E6" w:rsidRDefault="00F337E6" w:rsidP="008F61F5">
            <w:pPr>
              <w:pStyle w:val="TableRowCentered"/>
              <w:jc w:val="left"/>
              <w:rPr>
                <w:color w:val="auto"/>
                <w:sz w:val="22"/>
                <w:szCs w:val="22"/>
              </w:rPr>
            </w:pPr>
            <w:r w:rsidRPr="60273EDF">
              <w:rPr>
                <w:color w:val="auto"/>
                <w:sz w:val="22"/>
                <w:szCs w:val="22"/>
              </w:rPr>
              <w:t xml:space="preserve">Evidence of Impact: </w:t>
            </w:r>
          </w:p>
          <w:p w14:paraId="205E2A53" w14:textId="77777777" w:rsidR="00F337E6" w:rsidRDefault="00F337E6" w:rsidP="008F61F5">
            <w:pPr>
              <w:pStyle w:val="TableRowCentered"/>
              <w:ind w:left="0"/>
              <w:jc w:val="left"/>
              <w:rPr>
                <w:color w:val="auto"/>
                <w:sz w:val="22"/>
                <w:szCs w:val="22"/>
              </w:rPr>
            </w:pPr>
            <w:r w:rsidRPr="60273EDF">
              <w:rPr>
                <w:color w:val="auto"/>
                <w:sz w:val="22"/>
                <w:szCs w:val="22"/>
              </w:rPr>
              <w:t>Whole-school enrichment opportunities have ensured that all disadvantaged pupils have benefitted from experiencing creative activities, such as learning a musical instrument and taking part in a performance for parents at the end of the year. The subsidy of educational visits ensured that all disadvantaged pupils took part in educational visits and a high proportion went on the Y6 residential. Disadvantaged Pupils are actively encouraged to attend the wide range of extra-curricular clubs and sports competitions with other schools.</w:t>
            </w:r>
          </w:p>
          <w:p w14:paraId="578A8865" w14:textId="77777777" w:rsidR="00F337E6" w:rsidRPr="76C61390" w:rsidRDefault="00F337E6" w:rsidP="008F61F5">
            <w:pPr>
              <w:pStyle w:val="TableRowCentered"/>
              <w:jc w:val="left"/>
              <w:rPr>
                <w:color w:val="auto"/>
                <w:sz w:val="22"/>
                <w:szCs w:val="22"/>
              </w:rPr>
            </w:pPr>
          </w:p>
        </w:tc>
      </w:tr>
      <w:tr w:rsidR="00F337E6" w14:paraId="675E4939"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5228E" w14:textId="77777777" w:rsidR="00F337E6" w:rsidRDefault="00F337E6" w:rsidP="008F61F5">
            <w:pPr>
              <w:tabs>
                <w:tab w:val="left" w:pos="3135"/>
              </w:tabs>
              <w:suppressAutoHyphens w:val="0"/>
              <w:autoSpaceDN/>
              <w:spacing w:before="60" w:after="60" w:line="240" w:lineRule="auto"/>
              <w:ind w:right="57"/>
              <w:rPr>
                <w:iCs/>
                <w:color w:val="auto"/>
                <w:szCs w:val="28"/>
                <w:lang w:val="en-US"/>
              </w:rPr>
            </w:pPr>
            <w:r>
              <w:rPr>
                <w:iCs/>
                <w:color w:val="auto"/>
                <w:szCs w:val="28"/>
                <w:lang w:val="en-US"/>
              </w:rPr>
              <w:lastRenderedPageBreak/>
              <w:t>To purchase a greater variety of fully-decodable books</w:t>
            </w:r>
          </w:p>
          <w:p w14:paraId="754B5DE6" w14:textId="77777777" w:rsidR="00F337E6" w:rsidRPr="76C61390" w:rsidRDefault="00F337E6" w:rsidP="008F61F5">
            <w:pPr>
              <w:pStyle w:val="TableRowCentered"/>
              <w:jc w:val="left"/>
              <w:rPr>
                <w:color w:val="auto"/>
                <w:sz w:val="22"/>
                <w:szCs w:val="22"/>
              </w:rPr>
            </w:pPr>
            <w:r>
              <w:rPr>
                <w:iCs/>
                <w:color w:val="auto"/>
                <w:szCs w:val="28"/>
                <w:lang w:val="en-US"/>
              </w:rPr>
              <w:t>Dyslexia-friendly books</w:t>
            </w:r>
          </w:p>
        </w:tc>
      </w:tr>
      <w:tr w:rsidR="00F337E6" w14:paraId="022BE90A"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272BF589" w14:textId="77777777" w:rsidR="00F337E6" w:rsidRDefault="00F337E6" w:rsidP="008F61F5">
            <w:pPr>
              <w:pStyle w:val="TableRowCentered"/>
              <w:jc w:val="left"/>
              <w:rPr>
                <w:color w:val="auto"/>
                <w:sz w:val="22"/>
                <w:szCs w:val="22"/>
              </w:rPr>
            </w:pPr>
            <w:r w:rsidRPr="60273EDF">
              <w:rPr>
                <w:color w:val="auto"/>
                <w:sz w:val="22"/>
                <w:szCs w:val="22"/>
              </w:rPr>
              <w:t>Evidence of Impact:</w:t>
            </w:r>
          </w:p>
          <w:p w14:paraId="5C775CD6" w14:textId="77777777" w:rsidR="00F337E6" w:rsidRDefault="00F337E6" w:rsidP="008F61F5">
            <w:pPr>
              <w:pStyle w:val="TableRowCentered"/>
              <w:jc w:val="left"/>
              <w:rPr>
                <w:color w:val="auto"/>
                <w:sz w:val="22"/>
                <w:szCs w:val="22"/>
              </w:rPr>
            </w:pPr>
            <w:r w:rsidRPr="60273EDF">
              <w:rPr>
                <w:color w:val="auto"/>
                <w:sz w:val="22"/>
                <w:szCs w:val="22"/>
              </w:rPr>
              <w:t xml:space="preserve">44 pupils accessed the decodable readers. There has been positive feedback both from pupils, staff and parents. All 44 pupils made progress in decoding measured by half-termly Little </w:t>
            </w:r>
            <w:proofErr w:type="spellStart"/>
            <w:r w:rsidRPr="60273EDF">
              <w:rPr>
                <w:color w:val="auto"/>
                <w:sz w:val="22"/>
                <w:szCs w:val="22"/>
              </w:rPr>
              <w:t>Wandle</w:t>
            </w:r>
            <w:proofErr w:type="spellEnd"/>
            <w:r w:rsidRPr="60273EDF">
              <w:rPr>
                <w:color w:val="auto"/>
                <w:sz w:val="22"/>
                <w:szCs w:val="22"/>
              </w:rPr>
              <w:t xml:space="preserve"> Phonics assessment, 22 pupils have now graduated from the decodable readers after successful phonics screening in Autumn 1 2022 week 2 and now will have texts matched to their fluency level.</w:t>
            </w:r>
          </w:p>
          <w:p w14:paraId="6A31764D" w14:textId="77777777" w:rsidR="00F337E6" w:rsidRDefault="00F337E6" w:rsidP="008F61F5">
            <w:pPr>
              <w:pStyle w:val="TableRowCentered"/>
              <w:jc w:val="left"/>
              <w:rPr>
                <w:color w:val="auto"/>
                <w:sz w:val="22"/>
                <w:szCs w:val="22"/>
              </w:rPr>
            </w:pPr>
            <w:r w:rsidRPr="60273EDF">
              <w:rPr>
                <w:color w:val="auto"/>
                <w:sz w:val="22"/>
                <w:szCs w:val="22"/>
              </w:rPr>
              <w:t>Each year group now has access 30 dyslexia friendly texts (120 books across the school), so that pupils on the dyslexia friendly pathway can access the correct national curriculum reading books.</w:t>
            </w:r>
          </w:p>
          <w:p w14:paraId="06944BC8" w14:textId="77777777" w:rsidR="00F337E6" w:rsidRDefault="00F337E6" w:rsidP="008F61F5">
            <w:pPr>
              <w:pStyle w:val="TableRowCentered"/>
              <w:jc w:val="left"/>
              <w:rPr>
                <w:color w:val="auto"/>
                <w:sz w:val="22"/>
                <w:szCs w:val="22"/>
              </w:rPr>
            </w:pPr>
          </w:p>
        </w:tc>
      </w:tr>
      <w:tr w:rsidR="00F337E6" w14:paraId="67122667"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7CCA4" w14:textId="77777777" w:rsidR="00F337E6" w:rsidRPr="008A3C13" w:rsidRDefault="00F337E6" w:rsidP="008F61F5">
            <w:pPr>
              <w:tabs>
                <w:tab w:val="left" w:pos="3135"/>
              </w:tabs>
              <w:suppressAutoHyphens w:val="0"/>
              <w:autoSpaceDN/>
              <w:spacing w:before="60" w:after="60" w:line="240" w:lineRule="auto"/>
              <w:ind w:right="57"/>
              <w:rPr>
                <w:iCs/>
                <w:color w:val="auto"/>
                <w:sz w:val="22"/>
                <w:szCs w:val="28"/>
                <w:lang w:val="en-US"/>
              </w:rPr>
            </w:pPr>
            <w:r w:rsidRPr="008A3C13">
              <w:rPr>
                <w:iCs/>
                <w:color w:val="auto"/>
                <w:sz w:val="22"/>
                <w:szCs w:val="28"/>
                <w:lang w:val="en-US"/>
              </w:rPr>
              <w:t>To purchase online subscriptions for every child:</w:t>
            </w:r>
          </w:p>
          <w:p w14:paraId="7F92AFA1" w14:textId="77777777" w:rsidR="00F337E6" w:rsidRPr="008A3C13" w:rsidRDefault="00F337E6" w:rsidP="008F61F5">
            <w:pPr>
              <w:tabs>
                <w:tab w:val="left" w:pos="3135"/>
              </w:tabs>
              <w:suppressAutoHyphens w:val="0"/>
              <w:autoSpaceDN/>
              <w:spacing w:before="60" w:after="60" w:line="240" w:lineRule="auto"/>
              <w:ind w:right="57"/>
              <w:rPr>
                <w:iCs/>
                <w:color w:val="auto"/>
                <w:sz w:val="22"/>
                <w:szCs w:val="28"/>
                <w:lang w:val="en-US"/>
              </w:rPr>
            </w:pPr>
            <w:r w:rsidRPr="008A3C13">
              <w:rPr>
                <w:iCs/>
                <w:color w:val="auto"/>
                <w:sz w:val="22"/>
                <w:szCs w:val="28"/>
                <w:lang w:val="en-US"/>
              </w:rPr>
              <w:t>Bug Club</w:t>
            </w:r>
          </w:p>
          <w:p w14:paraId="3968B497" w14:textId="77777777" w:rsidR="00F337E6" w:rsidRPr="008A3C13" w:rsidRDefault="00F337E6" w:rsidP="008F61F5">
            <w:pPr>
              <w:tabs>
                <w:tab w:val="left" w:pos="3135"/>
              </w:tabs>
              <w:suppressAutoHyphens w:val="0"/>
              <w:autoSpaceDN/>
              <w:spacing w:before="60" w:after="60" w:line="240" w:lineRule="auto"/>
              <w:ind w:right="57"/>
              <w:rPr>
                <w:iCs/>
                <w:color w:val="auto"/>
                <w:sz w:val="22"/>
                <w:szCs w:val="28"/>
                <w:lang w:val="en-US"/>
              </w:rPr>
            </w:pPr>
            <w:r w:rsidRPr="008A3C13">
              <w:rPr>
                <w:iCs/>
                <w:color w:val="auto"/>
                <w:sz w:val="22"/>
                <w:szCs w:val="28"/>
                <w:lang w:val="en-US"/>
              </w:rPr>
              <w:t>Mathletics</w:t>
            </w:r>
          </w:p>
          <w:p w14:paraId="00E4DD80" w14:textId="77777777" w:rsidR="00F337E6" w:rsidRDefault="00F337E6" w:rsidP="008F61F5">
            <w:pPr>
              <w:pStyle w:val="TableRowCentered"/>
              <w:ind w:left="0"/>
              <w:jc w:val="left"/>
              <w:rPr>
                <w:color w:val="auto"/>
                <w:sz w:val="22"/>
                <w:szCs w:val="22"/>
              </w:rPr>
            </w:pPr>
            <w:r w:rsidRPr="008A3C13">
              <w:rPr>
                <w:iCs/>
                <w:color w:val="auto"/>
                <w:sz w:val="22"/>
                <w:szCs w:val="28"/>
                <w:lang w:val="en-US"/>
              </w:rPr>
              <w:t xml:space="preserve">TT </w:t>
            </w:r>
            <w:proofErr w:type="spellStart"/>
            <w:r w:rsidRPr="008A3C13">
              <w:rPr>
                <w:iCs/>
                <w:color w:val="auto"/>
                <w:sz w:val="22"/>
                <w:szCs w:val="28"/>
                <w:lang w:val="en-US"/>
              </w:rPr>
              <w:t>Rockstars</w:t>
            </w:r>
            <w:proofErr w:type="spellEnd"/>
          </w:p>
        </w:tc>
      </w:tr>
      <w:tr w:rsidR="00F337E6" w14:paraId="08E7542F" w14:textId="77777777" w:rsidTr="008F61F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Mar>
              <w:top w:w="0" w:type="dxa"/>
              <w:left w:w="108" w:type="dxa"/>
              <w:bottom w:w="0" w:type="dxa"/>
              <w:right w:w="108" w:type="dxa"/>
            </w:tcMar>
          </w:tcPr>
          <w:p w14:paraId="3E583262" w14:textId="77777777" w:rsidR="00F337E6" w:rsidRDefault="00F337E6" w:rsidP="008F61F5">
            <w:pPr>
              <w:pStyle w:val="TableRowCentered"/>
              <w:jc w:val="left"/>
              <w:rPr>
                <w:color w:val="auto"/>
                <w:sz w:val="22"/>
                <w:szCs w:val="22"/>
              </w:rPr>
            </w:pPr>
            <w:r w:rsidRPr="60273EDF">
              <w:rPr>
                <w:color w:val="auto"/>
                <w:sz w:val="22"/>
                <w:szCs w:val="22"/>
              </w:rPr>
              <w:t>Evidence of Impact:</w:t>
            </w:r>
          </w:p>
          <w:p w14:paraId="5891AD4C" w14:textId="77777777" w:rsidR="00F337E6" w:rsidRDefault="00F337E6" w:rsidP="008F61F5">
            <w:pPr>
              <w:pStyle w:val="TableRowCentered"/>
              <w:jc w:val="left"/>
              <w:rPr>
                <w:color w:val="auto"/>
                <w:sz w:val="22"/>
                <w:szCs w:val="22"/>
              </w:rPr>
            </w:pPr>
            <w:r w:rsidRPr="60273EDF">
              <w:rPr>
                <w:color w:val="auto"/>
                <w:sz w:val="22"/>
                <w:szCs w:val="22"/>
              </w:rPr>
              <w:t xml:space="preserve">Bug Club – diagnostic analysis provided by this platform for </w:t>
            </w:r>
            <w:proofErr w:type="spellStart"/>
            <w:r w:rsidRPr="60273EDF">
              <w:rPr>
                <w:color w:val="auto"/>
                <w:sz w:val="22"/>
                <w:szCs w:val="22"/>
              </w:rPr>
              <w:t>eReaders</w:t>
            </w:r>
            <w:proofErr w:type="spellEnd"/>
            <w:r w:rsidRPr="60273EDF">
              <w:rPr>
                <w:color w:val="auto"/>
                <w:sz w:val="22"/>
                <w:szCs w:val="22"/>
              </w:rPr>
              <w:t xml:space="preserve"> showed that all pupils accessed this reading portal throughout the year. The impact of this has been the engagement of disadvantaged boys in reading who have enjoyed the range of books and the interactive aspect of reading with pop of questions, opportunities to earn points. </w:t>
            </w:r>
          </w:p>
          <w:p w14:paraId="67B21253" w14:textId="77777777" w:rsidR="00F337E6" w:rsidRDefault="00F337E6" w:rsidP="008F61F5">
            <w:pPr>
              <w:pStyle w:val="TableRowCentered"/>
              <w:jc w:val="left"/>
              <w:rPr>
                <w:color w:val="0D0D0D" w:themeColor="text1" w:themeTint="F2"/>
                <w:szCs w:val="24"/>
              </w:rPr>
            </w:pPr>
          </w:p>
          <w:p w14:paraId="3575F290" w14:textId="77777777" w:rsidR="00F337E6" w:rsidRDefault="00F337E6" w:rsidP="008F61F5">
            <w:pPr>
              <w:pStyle w:val="TableRowCentered"/>
              <w:jc w:val="left"/>
              <w:rPr>
                <w:color w:val="auto"/>
                <w:sz w:val="22"/>
                <w:szCs w:val="22"/>
              </w:rPr>
            </w:pPr>
          </w:p>
        </w:tc>
      </w:tr>
    </w:tbl>
    <w:p w14:paraId="2D9548B2" w14:textId="77777777" w:rsidR="00F337E6" w:rsidRDefault="00F337E6" w:rsidP="00F337E6">
      <w:pPr>
        <w:spacing w:after="120"/>
        <w:rPr>
          <w:b/>
          <w:bCs/>
          <w:color w:val="104F75"/>
          <w:sz w:val="28"/>
          <w:szCs w:val="28"/>
        </w:rPr>
      </w:pPr>
    </w:p>
    <w:p w14:paraId="3C0CEF23" w14:textId="77777777" w:rsidR="007B48FF" w:rsidRDefault="007B48FF" w:rsidP="00C86D46"/>
    <w:bookmarkEnd w:id="0"/>
    <w:bookmarkEnd w:id="1"/>
    <w:bookmarkEnd w:id="2"/>
    <w:bookmarkEnd w:id="3"/>
    <w:bookmarkEnd w:id="4"/>
    <w:sectPr w:rsidR="007B48FF" w:rsidSect="00E36AAA">
      <w:footerReference w:type="default" r:id="rId21"/>
      <w:pgSz w:w="11906" w:h="16838"/>
      <w:pgMar w:top="709"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intelligence2.xml><?xml version="1.0" encoding="utf-8"?>
<int2:intelligence xmlns:int2="http://schemas.microsoft.com/office/intelligence/2020/intelligence">
  <int2:observations>
    <int2:bookmark int2:bookmarkName="_Int_TNCzdhxR" int2:invalidationBookmarkName="" int2:hashCode="OFCFHSXbj1Ka42" int2:id="nZZBXimb"/>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E66A6F"/>
    <w:multiLevelType w:val="hybridMultilevel"/>
    <w:tmpl w:val="E9E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C5B04"/>
    <w:multiLevelType w:val="hybridMultilevel"/>
    <w:tmpl w:val="FCD082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4EE5B60"/>
    <w:multiLevelType w:val="hybridMultilevel"/>
    <w:tmpl w:val="62C2312E"/>
    <w:lvl w:ilvl="0" w:tplc="324A9964">
      <w:start w:val="1"/>
      <w:numFmt w:val="bullet"/>
      <w:lvlText w:val="Ø"/>
      <w:lvlJc w:val="left"/>
      <w:pPr>
        <w:ind w:left="720" w:hanging="360"/>
      </w:pPr>
      <w:rPr>
        <w:rFonts w:ascii="Wingdings" w:hAnsi="Wingdings" w:hint="default"/>
      </w:rPr>
    </w:lvl>
    <w:lvl w:ilvl="1" w:tplc="2B328028">
      <w:start w:val="1"/>
      <w:numFmt w:val="bullet"/>
      <w:lvlText w:val="o"/>
      <w:lvlJc w:val="left"/>
      <w:pPr>
        <w:ind w:left="1440" w:hanging="360"/>
      </w:pPr>
      <w:rPr>
        <w:rFonts w:ascii="Courier New" w:hAnsi="Courier New" w:hint="default"/>
      </w:rPr>
    </w:lvl>
    <w:lvl w:ilvl="2" w:tplc="EF88B4D2">
      <w:start w:val="1"/>
      <w:numFmt w:val="bullet"/>
      <w:lvlText w:val=""/>
      <w:lvlJc w:val="left"/>
      <w:pPr>
        <w:ind w:left="2160" w:hanging="360"/>
      </w:pPr>
      <w:rPr>
        <w:rFonts w:ascii="Wingdings" w:hAnsi="Wingdings" w:hint="default"/>
      </w:rPr>
    </w:lvl>
    <w:lvl w:ilvl="3" w:tplc="885497C6">
      <w:start w:val="1"/>
      <w:numFmt w:val="bullet"/>
      <w:lvlText w:val=""/>
      <w:lvlJc w:val="left"/>
      <w:pPr>
        <w:ind w:left="2880" w:hanging="360"/>
      </w:pPr>
      <w:rPr>
        <w:rFonts w:ascii="Symbol" w:hAnsi="Symbol" w:hint="default"/>
      </w:rPr>
    </w:lvl>
    <w:lvl w:ilvl="4" w:tplc="1D768012">
      <w:start w:val="1"/>
      <w:numFmt w:val="bullet"/>
      <w:lvlText w:val="o"/>
      <w:lvlJc w:val="left"/>
      <w:pPr>
        <w:ind w:left="3600" w:hanging="360"/>
      </w:pPr>
      <w:rPr>
        <w:rFonts w:ascii="Courier New" w:hAnsi="Courier New" w:hint="default"/>
      </w:rPr>
    </w:lvl>
    <w:lvl w:ilvl="5" w:tplc="DB5ACA0C">
      <w:start w:val="1"/>
      <w:numFmt w:val="bullet"/>
      <w:lvlText w:val=""/>
      <w:lvlJc w:val="left"/>
      <w:pPr>
        <w:ind w:left="4320" w:hanging="360"/>
      </w:pPr>
      <w:rPr>
        <w:rFonts w:ascii="Wingdings" w:hAnsi="Wingdings" w:hint="default"/>
      </w:rPr>
    </w:lvl>
    <w:lvl w:ilvl="6" w:tplc="EB5CEC18">
      <w:start w:val="1"/>
      <w:numFmt w:val="bullet"/>
      <w:lvlText w:val=""/>
      <w:lvlJc w:val="left"/>
      <w:pPr>
        <w:ind w:left="5040" w:hanging="360"/>
      </w:pPr>
      <w:rPr>
        <w:rFonts w:ascii="Symbol" w:hAnsi="Symbol" w:hint="default"/>
      </w:rPr>
    </w:lvl>
    <w:lvl w:ilvl="7" w:tplc="E45883FA">
      <w:start w:val="1"/>
      <w:numFmt w:val="bullet"/>
      <w:lvlText w:val="o"/>
      <w:lvlJc w:val="left"/>
      <w:pPr>
        <w:ind w:left="5760" w:hanging="360"/>
      </w:pPr>
      <w:rPr>
        <w:rFonts w:ascii="Courier New" w:hAnsi="Courier New" w:hint="default"/>
      </w:rPr>
    </w:lvl>
    <w:lvl w:ilvl="8" w:tplc="7F02E86E">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6FC1BD1"/>
    <w:multiLevelType w:val="hybridMultilevel"/>
    <w:tmpl w:val="CB24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D9676A6"/>
    <w:multiLevelType w:val="hybridMultilevel"/>
    <w:tmpl w:val="2B36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545870F2"/>
    <w:multiLevelType w:val="hybridMultilevel"/>
    <w:tmpl w:val="B57CD25A"/>
    <w:lvl w:ilvl="0" w:tplc="87985A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237AF"/>
    <w:multiLevelType w:val="hybridMultilevel"/>
    <w:tmpl w:val="D8C6C4E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15:restartNumberingAfterBreak="0">
    <w:nsid w:val="7BC624BD"/>
    <w:multiLevelType w:val="multilevel"/>
    <w:tmpl w:val="328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8"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2"/>
  </w:num>
  <w:num w:numId="6">
    <w:abstractNumId w:val="21"/>
  </w:num>
  <w:num w:numId="7">
    <w:abstractNumId w:val="29"/>
  </w:num>
  <w:num w:numId="8">
    <w:abstractNumId w:val="34"/>
  </w:num>
  <w:num w:numId="9">
    <w:abstractNumId w:val="32"/>
  </w:num>
  <w:num w:numId="10">
    <w:abstractNumId w:val="30"/>
  </w:num>
  <w:num w:numId="11">
    <w:abstractNumId w:val="7"/>
  </w:num>
  <w:num w:numId="12">
    <w:abstractNumId w:val="33"/>
  </w:num>
  <w:num w:numId="13">
    <w:abstractNumId w:val="27"/>
  </w:num>
  <w:num w:numId="14">
    <w:abstractNumId w:val="13"/>
  </w:num>
  <w:num w:numId="15">
    <w:abstractNumId w:val="26"/>
  </w:num>
  <w:num w:numId="16">
    <w:abstractNumId w:val="38"/>
  </w:num>
  <w:num w:numId="17">
    <w:abstractNumId w:val="14"/>
  </w:num>
  <w:num w:numId="18">
    <w:abstractNumId w:val="18"/>
  </w:num>
  <w:num w:numId="19">
    <w:abstractNumId w:val="0"/>
  </w:num>
  <w:num w:numId="20">
    <w:abstractNumId w:val="23"/>
  </w:num>
  <w:num w:numId="21">
    <w:abstractNumId w:val="1"/>
  </w:num>
  <w:num w:numId="22">
    <w:abstractNumId w:val="19"/>
  </w:num>
  <w:num w:numId="23">
    <w:abstractNumId w:val="37"/>
  </w:num>
  <w:num w:numId="24">
    <w:abstractNumId w:val="31"/>
  </w:num>
  <w:num w:numId="25">
    <w:abstractNumId w:val="3"/>
  </w:num>
  <w:num w:numId="26">
    <w:abstractNumId w:val="16"/>
  </w:num>
  <w:num w:numId="27">
    <w:abstractNumId w:val="22"/>
  </w:num>
  <w:num w:numId="28">
    <w:abstractNumId w:val="28"/>
  </w:num>
  <w:num w:numId="29">
    <w:abstractNumId w:val="35"/>
  </w:num>
  <w:num w:numId="30">
    <w:abstractNumId w:val="4"/>
  </w:num>
  <w:num w:numId="31">
    <w:abstractNumId w:val="17"/>
  </w:num>
  <w:num w:numId="32">
    <w:abstractNumId w:val="24"/>
  </w:num>
  <w:num w:numId="33">
    <w:abstractNumId w:val="36"/>
  </w:num>
  <w:num w:numId="34">
    <w:abstractNumId w:val="15"/>
  </w:num>
  <w:num w:numId="35">
    <w:abstractNumId w:val="5"/>
  </w:num>
  <w:num w:numId="36">
    <w:abstractNumId w:val="20"/>
  </w:num>
  <w:num w:numId="37">
    <w:abstractNumId w:val="25"/>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072E"/>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9C"/>
    <w:rsid w:val="000605EA"/>
    <w:rsid w:val="00060CBF"/>
    <w:rsid w:val="00060D61"/>
    <w:rsid w:val="00060F73"/>
    <w:rsid w:val="000613A6"/>
    <w:rsid w:val="00061CE6"/>
    <w:rsid w:val="000623D3"/>
    <w:rsid w:val="00063207"/>
    <w:rsid w:val="00063340"/>
    <w:rsid w:val="00066054"/>
    <w:rsid w:val="00066A0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3BAD"/>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6921"/>
    <w:rsid w:val="000C764F"/>
    <w:rsid w:val="000D0FF7"/>
    <w:rsid w:val="000D1EBD"/>
    <w:rsid w:val="000D277F"/>
    <w:rsid w:val="000D3BA3"/>
    <w:rsid w:val="000D423D"/>
    <w:rsid w:val="000D4326"/>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E7A94"/>
    <w:rsid w:val="000F0EA0"/>
    <w:rsid w:val="000F14C5"/>
    <w:rsid w:val="000F19B5"/>
    <w:rsid w:val="000F2522"/>
    <w:rsid w:val="000F406A"/>
    <w:rsid w:val="000F4EB1"/>
    <w:rsid w:val="000F50CF"/>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526B"/>
    <w:rsid w:val="00136D68"/>
    <w:rsid w:val="00137EEF"/>
    <w:rsid w:val="001411E6"/>
    <w:rsid w:val="00141D27"/>
    <w:rsid w:val="0014317F"/>
    <w:rsid w:val="00143692"/>
    <w:rsid w:val="00144583"/>
    <w:rsid w:val="00145CB1"/>
    <w:rsid w:val="0014608F"/>
    <w:rsid w:val="00146613"/>
    <w:rsid w:val="001502A9"/>
    <w:rsid w:val="001521CA"/>
    <w:rsid w:val="00152206"/>
    <w:rsid w:val="00153CA3"/>
    <w:rsid w:val="001544DE"/>
    <w:rsid w:val="00154836"/>
    <w:rsid w:val="00155A11"/>
    <w:rsid w:val="0015621F"/>
    <w:rsid w:val="001570A9"/>
    <w:rsid w:val="0016021F"/>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5883"/>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2DC"/>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5EB8"/>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BA6C8"/>
    <w:rsid w:val="002C1C11"/>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3C11"/>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254E"/>
    <w:rsid w:val="003425AF"/>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0AA9"/>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A7F0A"/>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7F6"/>
    <w:rsid w:val="003D7A88"/>
    <w:rsid w:val="003D7ACE"/>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371B"/>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58C"/>
    <w:rsid w:val="00494A14"/>
    <w:rsid w:val="0049548C"/>
    <w:rsid w:val="00496236"/>
    <w:rsid w:val="004969BB"/>
    <w:rsid w:val="004972D5"/>
    <w:rsid w:val="004A0134"/>
    <w:rsid w:val="004A0933"/>
    <w:rsid w:val="004A0B31"/>
    <w:rsid w:val="004A0CA4"/>
    <w:rsid w:val="004A1D50"/>
    <w:rsid w:val="004A283A"/>
    <w:rsid w:val="004A2D5C"/>
    <w:rsid w:val="004A3BC4"/>
    <w:rsid w:val="004A44B3"/>
    <w:rsid w:val="004A44D9"/>
    <w:rsid w:val="004A4AB8"/>
    <w:rsid w:val="004A5014"/>
    <w:rsid w:val="004A50D0"/>
    <w:rsid w:val="004A623E"/>
    <w:rsid w:val="004A62A6"/>
    <w:rsid w:val="004A660B"/>
    <w:rsid w:val="004A6F6A"/>
    <w:rsid w:val="004B0EF8"/>
    <w:rsid w:val="004B1B9A"/>
    <w:rsid w:val="004B1D84"/>
    <w:rsid w:val="004B1EBA"/>
    <w:rsid w:val="004B2512"/>
    <w:rsid w:val="004B4453"/>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078"/>
    <w:rsid w:val="004F3914"/>
    <w:rsid w:val="004F3C63"/>
    <w:rsid w:val="004F4B6B"/>
    <w:rsid w:val="004F5A6F"/>
    <w:rsid w:val="0050115E"/>
    <w:rsid w:val="00502FAB"/>
    <w:rsid w:val="00505101"/>
    <w:rsid w:val="005052AE"/>
    <w:rsid w:val="005053BE"/>
    <w:rsid w:val="00506ADD"/>
    <w:rsid w:val="00510239"/>
    <w:rsid w:val="00511503"/>
    <w:rsid w:val="005146E2"/>
    <w:rsid w:val="005153B8"/>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328"/>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BAC"/>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5C00"/>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75C"/>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2D69"/>
    <w:rsid w:val="00714FB0"/>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564"/>
    <w:rsid w:val="00747AEC"/>
    <w:rsid w:val="00747F38"/>
    <w:rsid w:val="007502D1"/>
    <w:rsid w:val="00750C33"/>
    <w:rsid w:val="00750D7C"/>
    <w:rsid w:val="00751874"/>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4E98"/>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64F"/>
    <w:rsid w:val="00845A00"/>
    <w:rsid w:val="00846B45"/>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5813"/>
    <w:rsid w:val="008D68D6"/>
    <w:rsid w:val="008D6E0B"/>
    <w:rsid w:val="008D708C"/>
    <w:rsid w:val="008D73B7"/>
    <w:rsid w:val="008E4056"/>
    <w:rsid w:val="008E6507"/>
    <w:rsid w:val="008E73FB"/>
    <w:rsid w:val="008F0706"/>
    <w:rsid w:val="008F0E7F"/>
    <w:rsid w:val="008F2E57"/>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4F7"/>
    <w:rsid w:val="0091058F"/>
    <w:rsid w:val="009112FE"/>
    <w:rsid w:val="0091198C"/>
    <w:rsid w:val="00911E25"/>
    <w:rsid w:val="00912B56"/>
    <w:rsid w:val="0091307A"/>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67DE"/>
    <w:rsid w:val="00936968"/>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2CA9"/>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5DBB"/>
    <w:rsid w:val="009D6758"/>
    <w:rsid w:val="009D6E64"/>
    <w:rsid w:val="009D71E8"/>
    <w:rsid w:val="009D7CA1"/>
    <w:rsid w:val="009D7E73"/>
    <w:rsid w:val="009E02BF"/>
    <w:rsid w:val="009E071B"/>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0C0E"/>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47C4F"/>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2908"/>
    <w:rsid w:val="00AA30FD"/>
    <w:rsid w:val="00AA4D09"/>
    <w:rsid w:val="00AA52A4"/>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2A1A"/>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195"/>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05F45"/>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08D"/>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4F2"/>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483"/>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5BF4"/>
    <w:rsid w:val="00C17483"/>
    <w:rsid w:val="00C202A1"/>
    <w:rsid w:val="00C2080E"/>
    <w:rsid w:val="00C20E4C"/>
    <w:rsid w:val="00C21178"/>
    <w:rsid w:val="00C22D24"/>
    <w:rsid w:val="00C230F9"/>
    <w:rsid w:val="00C23E42"/>
    <w:rsid w:val="00C241F8"/>
    <w:rsid w:val="00C24B0D"/>
    <w:rsid w:val="00C26781"/>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022"/>
    <w:rsid w:val="00C60175"/>
    <w:rsid w:val="00C61060"/>
    <w:rsid w:val="00C61425"/>
    <w:rsid w:val="00C617F9"/>
    <w:rsid w:val="00C62EDD"/>
    <w:rsid w:val="00C636ED"/>
    <w:rsid w:val="00C639F4"/>
    <w:rsid w:val="00C64D48"/>
    <w:rsid w:val="00C65821"/>
    <w:rsid w:val="00C65888"/>
    <w:rsid w:val="00C66D73"/>
    <w:rsid w:val="00C7052F"/>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444F"/>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42B"/>
    <w:rsid w:val="00CE68EA"/>
    <w:rsid w:val="00CE6BFB"/>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14A"/>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18A"/>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03F8"/>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477"/>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356"/>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36AAA"/>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6B6F"/>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09D8"/>
    <w:rsid w:val="00E71A18"/>
    <w:rsid w:val="00E71FD3"/>
    <w:rsid w:val="00E725F1"/>
    <w:rsid w:val="00E729AA"/>
    <w:rsid w:val="00E72FF0"/>
    <w:rsid w:val="00E7312D"/>
    <w:rsid w:val="00E77CDC"/>
    <w:rsid w:val="00E809C7"/>
    <w:rsid w:val="00E80F54"/>
    <w:rsid w:val="00E814D6"/>
    <w:rsid w:val="00E84862"/>
    <w:rsid w:val="00E848AA"/>
    <w:rsid w:val="00E85077"/>
    <w:rsid w:val="00E8667F"/>
    <w:rsid w:val="00E86943"/>
    <w:rsid w:val="00E87053"/>
    <w:rsid w:val="00E8706B"/>
    <w:rsid w:val="00E87808"/>
    <w:rsid w:val="00E908C3"/>
    <w:rsid w:val="00E91265"/>
    <w:rsid w:val="00E9185B"/>
    <w:rsid w:val="00E92616"/>
    <w:rsid w:val="00E9263E"/>
    <w:rsid w:val="00E93BAA"/>
    <w:rsid w:val="00E9407C"/>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477D"/>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03BB"/>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921"/>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2A8"/>
    <w:rsid w:val="00F31D1D"/>
    <w:rsid w:val="00F32ED0"/>
    <w:rsid w:val="00F337E6"/>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1D09"/>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00A9"/>
    <w:rsid w:val="00FF1118"/>
    <w:rsid w:val="00FF13AC"/>
    <w:rsid w:val="00FF19C7"/>
    <w:rsid w:val="00FF2C3D"/>
    <w:rsid w:val="00FF4A12"/>
    <w:rsid w:val="00FF506D"/>
    <w:rsid w:val="00FF56B0"/>
    <w:rsid w:val="00FF599B"/>
    <w:rsid w:val="00FF5AD9"/>
    <w:rsid w:val="00FF6C78"/>
    <w:rsid w:val="00FF732C"/>
    <w:rsid w:val="01BAFA69"/>
    <w:rsid w:val="01DB7F36"/>
    <w:rsid w:val="021D1C26"/>
    <w:rsid w:val="02C754A3"/>
    <w:rsid w:val="02DE122A"/>
    <w:rsid w:val="03B0E05C"/>
    <w:rsid w:val="03CD2278"/>
    <w:rsid w:val="03CDB333"/>
    <w:rsid w:val="04303DCD"/>
    <w:rsid w:val="06628302"/>
    <w:rsid w:val="0775387E"/>
    <w:rsid w:val="07B54EE9"/>
    <w:rsid w:val="07BEBBE3"/>
    <w:rsid w:val="0804BDE4"/>
    <w:rsid w:val="0888F006"/>
    <w:rsid w:val="08C6B06E"/>
    <w:rsid w:val="090B9C76"/>
    <w:rsid w:val="091D8CC0"/>
    <w:rsid w:val="0926FD11"/>
    <w:rsid w:val="09752CC5"/>
    <w:rsid w:val="0980209D"/>
    <w:rsid w:val="0A9BA0B0"/>
    <w:rsid w:val="0AAF7A3E"/>
    <w:rsid w:val="0AB4D9B3"/>
    <w:rsid w:val="0AD8B286"/>
    <w:rsid w:val="0B034240"/>
    <w:rsid w:val="0C922D06"/>
    <w:rsid w:val="0C953639"/>
    <w:rsid w:val="0CE5775A"/>
    <w:rsid w:val="0D579CC0"/>
    <w:rsid w:val="0D71BFB1"/>
    <w:rsid w:val="0DBAAC2F"/>
    <w:rsid w:val="0E1FFB28"/>
    <w:rsid w:val="0E26D945"/>
    <w:rsid w:val="0E7503F2"/>
    <w:rsid w:val="0F1805F1"/>
    <w:rsid w:val="0F22852E"/>
    <w:rsid w:val="0F4E7BAE"/>
    <w:rsid w:val="0FBD8B06"/>
    <w:rsid w:val="0FE564DA"/>
    <w:rsid w:val="100B3F02"/>
    <w:rsid w:val="101356F0"/>
    <w:rsid w:val="101FDF19"/>
    <w:rsid w:val="114B2C84"/>
    <w:rsid w:val="1168A75C"/>
    <w:rsid w:val="11E04427"/>
    <w:rsid w:val="12340E09"/>
    <w:rsid w:val="1238A86C"/>
    <w:rsid w:val="125A1BD1"/>
    <w:rsid w:val="12BCFF3E"/>
    <w:rsid w:val="12F52BC8"/>
    <w:rsid w:val="137B4AA5"/>
    <w:rsid w:val="13AC852B"/>
    <w:rsid w:val="13C92CED"/>
    <w:rsid w:val="161FE6EF"/>
    <w:rsid w:val="162B0B1A"/>
    <w:rsid w:val="163A8770"/>
    <w:rsid w:val="17588CF1"/>
    <w:rsid w:val="187FF64E"/>
    <w:rsid w:val="18D314C3"/>
    <w:rsid w:val="195787B1"/>
    <w:rsid w:val="19722832"/>
    <w:rsid w:val="1A07D2C8"/>
    <w:rsid w:val="1A342C4A"/>
    <w:rsid w:val="1B0F89A2"/>
    <w:rsid w:val="1B903DB1"/>
    <w:rsid w:val="1B9BF584"/>
    <w:rsid w:val="1BE439D0"/>
    <w:rsid w:val="1CAC1C78"/>
    <w:rsid w:val="1CBBD571"/>
    <w:rsid w:val="1CBE0865"/>
    <w:rsid w:val="1D027327"/>
    <w:rsid w:val="1D1AC8F8"/>
    <w:rsid w:val="1D4F7B7E"/>
    <w:rsid w:val="1D5B54F7"/>
    <w:rsid w:val="1D800A31"/>
    <w:rsid w:val="1E37DE6F"/>
    <w:rsid w:val="1E4DABF1"/>
    <w:rsid w:val="1E93D47E"/>
    <w:rsid w:val="1F9439F3"/>
    <w:rsid w:val="1FA3496F"/>
    <w:rsid w:val="1FE2FAC5"/>
    <w:rsid w:val="2095BC5F"/>
    <w:rsid w:val="2163A68C"/>
    <w:rsid w:val="2166533B"/>
    <w:rsid w:val="216F7F31"/>
    <w:rsid w:val="21974485"/>
    <w:rsid w:val="21DCC266"/>
    <w:rsid w:val="22A06CA7"/>
    <w:rsid w:val="22B8B1CF"/>
    <w:rsid w:val="23A33D1C"/>
    <w:rsid w:val="241090D9"/>
    <w:rsid w:val="24B66BE8"/>
    <w:rsid w:val="24E85E26"/>
    <w:rsid w:val="24FA6AE2"/>
    <w:rsid w:val="24FEE201"/>
    <w:rsid w:val="2527D171"/>
    <w:rsid w:val="254F9988"/>
    <w:rsid w:val="26C1AA8B"/>
    <w:rsid w:val="2736B347"/>
    <w:rsid w:val="279FAE26"/>
    <w:rsid w:val="286FB4C0"/>
    <w:rsid w:val="28868CDB"/>
    <w:rsid w:val="28906D19"/>
    <w:rsid w:val="2898BEED"/>
    <w:rsid w:val="292F2A06"/>
    <w:rsid w:val="29F39243"/>
    <w:rsid w:val="2A127EA0"/>
    <w:rsid w:val="2A3499D1"/>
    <w:rsid w:val="2A92CF0D"/>
    <w:rsid w:val="2AB15E52"/>
    <w:rsid w:val="2B168CEB"/>
    <w:rsid w:val="2B1D007D"/>
    <w:rsid w:val="2C6A6AB6"/>
    <w:rsid w:val="2C7B2944"/>
    <w:rsid w:val="2C93B985"/>
    <w:rsid w:val="2CC7DA44"/>
    <w:rsid w:val="2D1E1979"/>
    <w:rsid w:val="2D3A70C5"/>
    <w:rsid w:val="2D45D378"/>
    <w:rsid w:val="2D5C0D09"/>
    <w:rsid w:val="2D7FE6D3"/>
    <w:rsid w:val="2DBEA389"/>
    <w:rsid w:val="2E0C7CC0"/>
    <w:rsid w:val="2E683996"/>
    <w:rsid w:val="2E7492CA"/>
    <w:rsid w:val="2EE0A90F"/>
    <w:rsid w:val="2EED233F"/>
    <w:rsid w:val="2F01DA34"/>
    <w:rsid w:val="2F6B47BC"/>
    <w:rsid w:val="2F70D185"/>
    <w:rsid w:val="30506ABC"/>
    <w:rsid w:val="30D8CCC0"/>
    <w:rsid w:val="315C48C5"/>
    <w:rsid w:val="3211E31F"/>
    <w:rsid w:val="325077BC"/>
    <w:rsid w:val="33121816"/>
    <w:rsid w:val="33246727"/>
    <w:rsid w:val="33663118"/>
    <w:rsid w:val="33A03889"/>
    <w:rsid w:val="34A5393D"/>
    <w:rsid w:val="34A636BA"/>
    <w:rsid w:val="3547CFAF"/>
    <w:rsid w:val="35A92D66"/>
    <w:rsid w:val="35DB2316"/>
    <w:rsid w:val="35DE6D57"/>
    <w:rsid w:val="361EEB15"/>
    <w:rsid w:val="372A34DD"/>
    <w:rsid w:val="37663771"/>
    <w:rsid w:val="39FBD05C"/>
    <w:rsid w:val="3A131855"/>
    <w:rsid w:val="3B48BFD4"/>
    <w:rsid w:val="3B4DAE1D"/>
    <w:rsid w:val="3C01CFE1"/>
    <w:rsid w:val="3C032684"/>
    <w:rsid w:val="3C30A267"/>
    <w:rsid w:val="3C47112D"/>
    <w:rsid w:val="3CD90ADF"/>
    <w:rsid w:val="3CE3C489"/>
    <w:rsid w:val="3D648D10"/>
    <w:rsid w:val="3DBA29B3"/>
    <w:rsid w:val="3EAF1E1E"/>
    <w:rsid w:val="3EAF61E9"/>
    <w:rsid w:val="3F17CB8D"/>
    <w:rsid w:val="3F305B8A"/>
    <w:rsid w:val="3F46AE1F"/>
    <w:rsid w:val="3FF06CFD"/>
    <w:rsid w:val="40DFB1BA"/>
    <w:rsid w:val="4104FF3B"/>
    <w:rsid w:val="41619DBC"/>
    <w:rsid w:val="41C77BE8"/>
    <w:rsid w:val="41ED226C"/>
    <w:rsid w:val="42295A32"/>
    <w:rsid w:val="425E8D13"/>
    <w:rsid w:val="42CCCC57"/>
    <w:rsid w:val="42ED91A5"/>
    <w:rsid w:val="4382D30C"/>
    <w:rsid w:val="43CF44E9"/>
    <w:rsid w:val="449A70A9"/>
    <w:rsid w:val="455E6DA5"/>
    <w:rsid w:val="45A5A933"/>
    <w:rsid w:val="4649D5A2"/>
    <w:rsid w:val="467A28B3"/>
    <w:rsid w:val="47020B5C"/>
    <w:rsid w:val="47C8D0CD"/>
    <w:rsid w:val="484E07F5"/>
    <w:rsid w:val="489DDBBD"/>
    <w:rsid w:val="48BC48A9"/>
    <w:rsid w:val="48C21A32"/>
    <w:rsid w:val="48DB70E6"/>
    <w:rsid w:val="48ED9065"/>
    <w:rsid w:val="4902AFFB"/>
    <w:rsid w:val="490B27C7"/>
    <w:rsid w:val="49295594"/>
    <w:rsid w:val="49A2A485"/>
    <w:rsid w:val="49C05E38"/>
    <w:rsid w:val="4A6352CE"/>
    <w:rsid w:val="4A8960C6"/>
    <w:rsid w:val="4A98ACBB"/>
    <w:rsid w:val="4A9ECD00"/>
    <w:rsid w:val="4BBE1E8D"/>
    <w:rsid w:val="4BC95BBE"/>
    <w:rsid w:val="4BFC42F5"/>
    <w:rsid w:val="4C36F820"/>
    <w:rsid w:val="4CB5312B"/>
    <w:rsid w:val="4D092D4A"/>
    <w:rsid w:val="4D981356"/>
    <w:rsid w:val="4DC10188"/>
    <w:rsid w:val="4E1CED66"/>
    <w:rsid w:val="4E3E57FE"/>
    <w:rsid w:val="4E6A8A15"/>
    <w:rsid w:val="4F96F4B4"/>
    <w:rsid w:val="500E7E4D"/>
    <w:rsid w:val="519CB756"/>
    <w:rsid w:val="51A3C1A6"/>
    <w:rsid w:val="5223DB90"/>
    <w:rsid w:val="5261E59B"/>
    <w:rsid w:val="527DA31C"/>
    <w:rsid w:val="52CC6F39"/>
    <w:rsid w:val="531411B3"/>
    <w:rsid w:val="53CC4056"/>
    <w:rsid w:val="553D8BA6"/>
    <w:rsid w:val="553EC61B"/>
    <w:rsid w:val="5542D47E"/>
    <w:rsid w:val="558F46FA"/>
    <w:rsid w:val="55DB5F62"/>
    <w:rsid w:val="562829AC"/>
    <w:rsid w:val="575E0766"/>
    <w:rsid w:val="576E82D4"/>
    <w:rsid w:val="5811A2AC"/>
    <w:rsid w:val="58B99D55"/>
    <w:rsid w:val="5901C54D"/>
    <w:rsid w:val="5946BEC4"/>
    <w:rsid w:val="598CD007"/>
    <w:rsid w:val="5A1025E0"/>
    <w:rsid w:val="5B10C18C"/>
    <w:rsid w:val="5B1C4BE7"/>
    <w:rsid w:val="5B49436E"/>
    <w:rsid w:val="5B509BD2"/>
    <w:rsid w:val="5B6195DE"/>
    <w:rsid w:val="5B62ED96"/>
    <w:rsid w:val="5C7E5F86"/>
    <w:rsid w:val="5C827F8F"/>
    <w:rsid w:val="5CE46DE2"/>
    <w:rsid w:val="5E66E58F"/>
    <w:rsid w:val="5E6FA959"/>
    <w:rsid w:val="5EC57588"/>
    <w:rsid w:val="5F4F30B9"/>
    <w:rsid w:val="5FF99CB5"/>
    <w:rsid w:val="6024A217"/>
    <w:rsid w:val="602E5826"/>
    <w:rsid w:val="60903B36"/>
    <w:rsid w:val="61318C6C"/>
    <w:rsid w:val="61521474"/>
    <w:rsid w:val="61C2FAD1"/>
    <w:rsid w:val="622873F7"/>
    <w:rsid w:val="6257F3A0"/>
    <w:rsid w:val="62A8A793"/>
    <w:rsid w:val="62EDE4D5"/>
    <w:rsid w:val="63431A7C"/>
    <w:rsid w:val="63EAAB3B"/>
    <w:rsid w:val="63EE8D7C"/>
    <w:rsid w:val="64BA85DD"/>
    <w:rsid w:val="65D006A6"/>
    <w:rsid w:val="66364876"/>
    <w:rsid w:val="667ABB3E"/>
    <w:rsid w:val="6684C297"/>
    <w:rsid w:val="672D04CF"/>
    <w:rsid w:val="677C18B6"/>
    <w:rsid w:val="679D90A5"/>
    <w:rsid w:val="67A53E5E"/>
    <w:rsid w:val="682B01D0"/>
    <w:rsid w:val="68669864"/>
    <w:rsid w:val="6943BA31"/>
    <w:rsid w:val="694BEF2B"/>
    <w:rsid w:val="69B25C00"/>
    <w:rsid w:val="69C42BF1"/>
    <w:rsid w:val="69CCECD4"/>
    <w:rsid w:val="69DB4A32"/>
    <w:rsid w:val="69DDEBB7"/>
    <w:rsid w:val="6A4D3B64"/>
    <w:rsid w:val="6AA61EF3"/>
    <w:rsid w:val="6B3920EF"/>
    <w:rsid w:val="6B541343"/>
    <w:rsid w:val="6B8B7A23"/>
    <w:rsid w:val="6BF0DCE2"/>
    <w:rsid w:val="6C25DD36"/>
    <w:rsid w:val="6C28307A"/>
    <w:rsid w:val="6C5195E4"/>
    <w:rsid w:val="6C61CAE2"/>
    <w:rsid w:val="6DBCD00F"/>
    <w:rsid w:val="6E1A1779"/>
    <w:rsid w:val="6E388502"/>
    <w:rsid w:val="6E9EF580"/>
    <w:rsid w:val="704EEADD"/>
    <w:rsid w:val="7140EFD9"/>
    <w:rsid w:val="72B130D8"/>
    <w:rsid w:val="72F081C4"/>
    <w:rsid w:val="734652D8"/>
    <w:rsid w:val="735B6955"/>
    <w:rsid w:val="736B72BB"/>
    <w:rsid w:val="73E8EC5C"/>
    <w:rsid w:val="7433425F"/>
    <w:rsid w:val="74F43863"/>
    <w:rsid w:val="75353654"/>
    <w:rsid w:val="7577F5AD"/>
    <w:rsid w:val="75CF12C0"/>
    <w:rsid w:val="75D8B555"/>
    <w:rsid w:val="762A6E8A"/>
    <w:rsid w:val="76C61390"/>
    <w:rsid w:val="76F5CAE9"/>
    <w:rsid w:val="77680713"/>
    <w:rsid w:val="7816B087"/>
    <w:rsid w:val="7833B34F"/>
    <w:rsid w:val="78ED8B25"/>
    <w:rsid w:val="799E1EE5"/>
    <w:rsid w:val="7A08A777"/>
    <w:rsid w:val="7A251FAB"/>
    <w:rsid w:val="7B097852"/>
    <w:rsid w:val="7C157D4A"/>
    <w:rsid w:val="7C16762E"/>
    <w:rsid w:val="7C31455F"/>
    <w:rsid w:val="7C4C8546"/>
    <w:rsid w:val="7CC3434C"/>
    <w:rsid w:val="7CC937AC"/>
    <w:rsid w:val="7CD82F2B"/>
    <w:rsid w:val="7D1189A1"/>
    <w:rsid w:val="7E36FCC8"/>
    <w:rsid w:val="7EDC189A"/>
    <w:rsid w:val="7FB2A2AA"/>
    <w:rsid w:val="7FE3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customStyle="1" w:styleId="xmsonormal">
    <w:name w:val="x_msonormal"/>
    <w:basedOn w:val="Normal"/>
    <w:rsid w:val="000C6921"/>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F337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3014">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544484770">
      <w:bodyDiv w:val="1"/>
      <w:marLeft w:val="0"/>
      <w:marRight w:val="0"/>
      <w:marTop w:val="0"/>
      <w:marBottom w:val="0"/>
      <w:divBdr>
        <w:top w:val="none" w:sz="0" w:space="0" w:color="auto"/>
        <w:left w:val="none" w:sz="0" w:space="0" w:color="auto"/>
        <w:bottom w:val="none" w:sz="0" w:space="0" w:color="auto"/>
        <w:right w:val="none" w:sz="0" w:space="0" w:color="auto"/>
      </w:divBdr>
    </w:div>
    <w:div w:id="1008406480">
      <w:bodyDiv w:val="1"/>
      <w:marLeft w:val="0"/>
      <w:marRight w:val="0"/>
      <w:marTop w:val="0"/>
      <w:marBottom w:val="0"/>
      <w:divBdr>
        <w:top w:val="none" w:sz="0" w:space="0" w:color="auto"/>
        <w:left w:val="none" w:sz="0" w:space="0" w:color="auto"/>
        <w:bottom w:val="none" w:sz="0" w:space="0" w:color="auto"/>
        <w:right w:val="none" w:sz="0" w:space="0" w:color="auto"/>
      </w:divBdr>
    </w:div>
    <w:div w:id="112723733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54463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21" Type="http://schemas.openxmlformats.org/officeDocument/2006/relationships/footer" Target="footer1.xml"/><Relationship Id="Rc4d3d8e6a1cf4acf"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www.gov.uk/government/publications/choosing-a-phonics-teaching-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8155943B21549AD729C56FDF19275" ma:contentTypeVersion="10" ma:contentTypeDescription="Create a new document." ma:contentTypeScope="" ma:versionID="aff489119d6ddaf85d13276049450812">
  <xsd:schema xmlns:xsd="http://www.w3.org/2001/XMLSchema" xmlns:xs="http://www.w3.org/2001/XMLSchema" xmlns:p="http://schemas.microsoft.com/office/2006/metadata/properties" xmlns:ns2="6b984e09-b2b6-452a-98a2-d08ae04abcca" targetNamespace="http://schemas.microsoft.com/office/2006/metadata/properties" ma:root="true" ma:fieldsID="8f27d867b461a7f007eb74cb42513500" ns2:_="">
    <xsd:import namespace="6b984e09-b2b6-452a-98a2-d08ae04a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4e09-b2b6-452a-98a2-d08ae04a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FEBA-9B56-43DA-B472-675DF56F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4e09-b2b6-452a-98a2-d08ae04a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http://purl.org/dc/elements/1.1/"/>
    <ds:schemaRef ds:uri="http://schemas.microsoft.com/office/2006/documentManagement/types"/>
    <ds:schemaRef ds:uri="http://purl.org/dc/terms/"/>
    <ds:schemaRef ds:uri="6b984e09-b2b6-452a-98a2-d08ae04abcca"/>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AEEC049-843F-4B36-BE41-F8F64161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Allison Owens</cp:lastModifiedBy>
  <cp:revision>2</cp:revision>
  <cp:lastPrinted>2014-09-17T13:26:00Z</cp:lastPrinted>
  <dcterms:created xsi:type="dcterms:W3CDTF">2022-10-07T12:03:00Z</dcterms:created>
  <dcterms:modified xsi:type="dcterms:W3CDTF">2022-10-07T12:03:00Z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0x0101003508155943B21549AD729C56FDF19275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